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93"/>
        <w:gridCol w:w="1510"/>
        <w:gridCol w:w="3032"/>
        <w:gridCol w:w="2470"/>
      </w:tblGrid>
      <w:tr>
        <w:trPr/>
        <w:tc>
          <w:tcPr>
            <w:tcW w:w="3193"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73"/>
            </w:tblGrid>
            <w:tr>
              <w:trPr/>
              <w:tc>
                <w:tcPr>
                  <w:tcW w:w="3073" w:type="dxa"/>
                  <w:tcBorders/>
                  <w:vAlign w:val="center"/>
                </w:tcPr>
                <w:p>
                  <w:pPr>
                    <w:pStyle w:val="TableContents"/>
                    <w:bidi w:val="0"/>
                    <w:spacing w:before="0" w:after="283"/>
                    <w:jc w:val="left"/>
                    <w:rPr/>
                  </w:pPr>
                  <w:hyperlink r:id="rId2">
                    <w:r>
                      <w:rPr>
                        <w:rStyle w:val="InternetLink"/>
                      </w:rPr>
                      <w:t>Smith Adam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4"/>
              <w:gridCol w:w="1024"/>
              <w:gridCol w:w="1025"/>
            </w:tblGrid>
            <w:tr>
              <w:trPr/>
              <w:tc>
                <w:tcPr>
                  <w:tcW w:w="10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73"/>
            </w:tblGrid>
            <w:tr>
              <w:trPr/>
              <w:tc>
                <w:tcPr>
                  <w:tcW w:w="307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12276 SAN JOSE BLVD.</w:t>
                  </w:r>
                </w:p>
              </w:tc>
            </w:tr>
            <w:tr>
              <w:trPr/>
              <w:tc>
                <w:tcPr>
                  <w:tcW w:w="307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24"/>
              <w:gridCol w:w="1024"/>
              <w:gridCol w:w="1025"/>
            </w:tblGrid>
            <w:tr>
              <w:trPr/>
              <w:tc>
                <w:tcPr>
                  <w:tcW w:w="102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JACKSONVILLE</w:t>
                  </w:r>
                </w:p>
              </w:tc>
              <w:tc>
                <w:tcPr>
                  <w:tcW w:w="102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02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4"/>
              <w:gridCol w:w="1024"/>
              <w:gridCol w:w="1025"/>
            </w:tblGrid>
            <w:tr>
              <w:trPr/>
              <w:tc>
                <w:tcPr>
                  <w:tcW w:w="10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50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Proficient Auto Logistics, Inc</w:t>
              </w:r>
            </w:hyperlink>
            <w:r>
              <w:rPr/>
              <w:t xml:space="preserve"> [ </w:t>
            </w:r>
            <w:r>
              <w:rPr>
                <w:rFonts w:ascii="Times;serif" w:hAnsi="Times;serif"/>
                <w:color w:val="0000FF"/>
                <w:sz w:val="24"/>
                <w:shd w:fill="FFFFFF" w:val="clear"/>
              </w:rPr>
              <w:t>PAL</w:t>
            </w:r>
            <w:r>
              <w:rPr/>
              <w:t xml:space="preserve"> ] </w:t>
              <w:br/>
            </w:r>
            <w:r>
              <w:rPr>
                <w:rFonts w:ascii="arial;helvetica;sans-serif" w:hAnsi="arial;helvetica;sans-serif"/>
                <w:sz w:val="20"/>
              </w:rPr>
              <w:t>Foreign Trading Symbol</w:t>
            </w:r>
          </w:p>
        </w:tc>
      </w:tr>
      <w:tr>
        <w:trPr/>
        <w:tc>
          <w:tcPr>
            <w:tcW w:w="31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6"/>
              <w:gridCol w:w="1020"/>
              <w:gridCol w:w="436"/>
              <w:gridCol w:w="1020"/>
            </w:tblGrid>
            <w:tr>
              <w:trPr/>
              <w:tc>
                <w:tcPr>
                  <w:tcW w:w="43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of Administration</w:t>
                  </w:r>
                </w:p>
              </w:tc>
            </w:tr>
          </w:tbl>
          <w:p>
            <w:pPr>
              <w:pStyle w:val="TableContents"/>
              <w:bidi w:val="0"/>
              <w:spacing w:before="0" w:after="283"/>
              <w:jc w:val="left"/>
              <w:rPr>
                <w:sz w:val="4"/>
                <w:szCs w:val="4"/>
              </w:rPr>
            </w:pPr>
            <w:r>
              <w:rPr>
                <w:sz w:val="4"/>
                <w:szCs w:val="4"/>
              </w:rPr>
            </w:r>
          </w:p>
        </w:tc>
        <w:tc>
          <w:tcPr>
            <w:tcW w:w="2470"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93"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70"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1"/>
              <w:gridCol w:w="1999"/>
            </w:tblGrid>
            <w:tr>
              <w:trPr/>
              <w:tc>
                <w:tcPr>
                  <w:tcW w:w="35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9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8,299</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24, 2025, the Reporting Person was awarded 15,167 restricted stock units that vest in equal installments on each of March 24, 2026, 2027 and 2028. The restricted stock units that vested on March 24, 2026 are not included in the total in Table II and are included in Table 1. These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February 13, 2026, the Reporting Person was awarded 8,299 restricted stock units that vest in equal installments on each of February 13, 2027, 2028 and 2029. These restricted stock units convert into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Wright,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247301ex24.htm"/>
      <w:bookmarkStart w:id="3" w:name="ksea030247301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Adam Jeffrey Smith (the “Filer</w:t>
      </w:r>
      <w:r>
        <w:rPr>
          <w:rFonts w:ascii="Times New Roman;Times;Serif" w:hAnsi="Times New Roman;Times;Serif"/>
          <w:b w:val="false"/>
          <w:i w:val="false"/>
          <w:caps/>
          <w:sz w:val="20"/>
        </w:rPr>
        <w:t>”) </w:t>
      </w:r>
      <w:r>
        <w:rPr>
          <w:rFonts w:ascii="Times New Roman;Times;Serif" w:hAnsi="Times New Roman;Times;Serif"/>
          <w:b w:val="false"/>
          <w:i w:val="false"/>
          <w:caps w:val="false"/>
          <w:smallCaps w:val="false"/>
          <w:sz w:val="20"/>
        </w:rPr>
        <w:t>hereby constitutes and appoints Bradley J. Wright acting as the Filer’s true and lawful attorney-in-fact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and file for and on behalf of the Filer a Form ID, including any amendments thereto, and any other related documents or action necessary or appropriate to obtain or update from the Electronic Gathering and Retrieval System of the United States Securities and Exchange Commission (“SEC”), the codes, numbers and passphrases enabling the Filer to make electronic filings with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Filer, in the Filer’s capacity as an officer and/or director of Proficient Auto Logistics, Inc. (the “Company”) Forms 3, 4 and 5 in accordance with Section 16(a) of the Securities Exchange Act of 1934, as amended, and rules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Filer which may be necessary or desirable to complete the execution of any such Form ID, Form 3, 4 or 5 and other related documents and the timely filing of such forms with the SEC;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such attorney-in-fact, may be of benefit to, in the best interest of, or legally required by, the Filer, it being understood that the documents executed by any such attorney-in-fact on behalf of the Filer pursuant to this Power of Attorney shall be in such form an shall contain such terms and conditions as such attorney-in-fact may approve in any such attorney-in-fact’s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his or her substitute or substitutes, shall lawfully do or cause to be done by virtue of this Power of Attorney and the rights and powers herein granted.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August 17, 2026.</w:t>
      </w:r>
    </w:p>
    <w:p>
      <w:pPr>
        <w:pStyle w:val="TextBody"/>
        <w:bidi w:val="0"/>
        <w:spacing w:before="0" w:after="0"/>
        <w:ind w:left="0" w:right="0" w:firstLine="1440"/>
        <w:jc w:val="both"/>
        <w:rPr>
          <w:caps/>
        </w:rPr>
      </w:pPr>
      <w:r>
        <w:rPr>
          <w:caps/>
        </w:rPr>
        <w:t> </w:t>
      </w:r>
    </w:p>
    <w:tbl>
      <w:tblPr>
        <w:tblW w:w="3975" w:type="dxa"/>
        <w:jc w:val="left"/>
        <w:tblInd w:w="0" w:type="dxa"/>
        <w:tblLayout w:type="fixed"/>
        <w:tblCellMar>
          <w:top w:w="0" w:type="dxa"/>
          <w:left w:w="0" w:type="dxa"/>
          <w:bottom w:w="0" w:type="dxa"/>
          <w:right w:w="0" w:type="dxa"/>
        </w:tblCellMar>
      </w:tblPr>
      <w:tblGrid>
        <w:gridCol w:w="335"/>
        <w:gridCol w:w="590"/>
        <w:gridCol w:w="3050"/>
      </w:tblGrid>
      <w:tr>
        <w:trPr/>
        <w:tc>
          <w:tcPr>
            <w:tcW w:w="335" w:type="dxa"/>
            <w:tcBorders/>
            <w:vAlign w:val="center"/>
          </w:tcPr>
          <w:p>
            <w:pPr>
              <w:pStyle w:val="TableContents"/>
              <w:bidi w:val="0"/>
              <w:spacing w:before="0" w:after="283"/>
              <w:jc w:val="left"/>
              <w:rPr>
                <w:sz w:val="20"/>
              </w:rPr>
            </w:pPr>
            <w:r>
              <w:rPr>
                <w:sz w:val="20"/>
              </w:rPr>
              <w:t>By:</w:t>
            </w:r>
          </w:p>
        </w:tc>
        <w:tc>
          <w:tcPr>
            <w:tcW w:w="364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Adam Jeffrey Smith</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3050" w:type="dxa"/>
            <w:tcBorders/>
            <w:vAlign w:val="center"/>
          </w:tcPr>
          <w:p>
            <w:pPr>
              <w:pStyle w:val="TableContents"/>
              <w:bidi w:val="0"/>
              <w:spacing w:before="0" w:after="283"/>
              <w:jc w:val="left"/>
              <w:rPr>
                <w:sz w:val="20"/>
              </w:rPr>
            </w:pPr>
            <w:r>
              <w:rPr>
                <w:sz w:val="20"/>
              </w:rPr>
              <w:t>Adam Jeffrey Smith</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 </w:t>
            </w:r>
          </w:p>
        </w:tc>
        <w:tc>
          <w:tcPr>
            <w:tcW w:w="3050" w:type="dxa"/>
            <w:tcBorders/>
            <w:vAlign w:val="center"/>
          </w:tcPr>
          <w:p>
            <w:pPr>
              <w:pStyle w:val="TableContents"/>
              <w:bidi w:val="0"/>
              <w:spacing w:before="0" w:after="283"/>
              <w:jc w:val="left"/>
              <w:rPr>
                <w:sz w:val="20"/>
              </w:rPr>
            </w:pPr>
            <w:r>
              <w:rPr>
                <w:sz w:val="20"/>
              </w:rPr>
              <w:t>Senior Vice President Administration</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368" TargetMode="External"/><Relationship Id="rId3" Type="http://schemas.openxmlformats.org/officeDocument/2006/relationships/hyperlink" Target="http://www.sec.gov/cgi-bin/browse-edgar?action=getcompany&amp;CIK=00019987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939</Words>
  <Characters>4855</Characters>
  <CharactersWithSpaces>5732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