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ODELL RICHARD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12276 SAN JOSE BLVD.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0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Proficient Auto Logistics,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20" w:type="dxa"/>
            <w:vAlign w:val="bottom"/>
          </w:tcPr>
          <w:p>
            <w:pPr>
              <w:jc w:val="right"/>
              <w:ind w:right="687"/>
              <w:spacing w:after="0"/>
              <w:rPr>
                <w:sz w:val="20"/>
                <w:szCs w:val="20"/>
                <w:color w:val="auto"/>
              </w:rPr>
            </w:pPr>
            <w:r>
              <w:rPr>
                <w:rFonts w:ascii="Times New Roman" w:cs="Times New Roman" w:eastAsia="Times New Roman" w:hAnsi="Times New Roman"/>
                <w:sz w:val="17"/>
                <w:szCs w:val="17"/>
                <w:color w:val="0000FF"/>
              </w:rPr>
              <w:t>32223</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05/13/2026</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161,670</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997,842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161,670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05/13/2026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161,670</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485,015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2024, the Reporting Person was awarded 808,355 restricted stock units that vest in equal installments on each of May 13, 2025, 2026, 2027, 2028, and 2029. These restricted stock units convert into common stock on a one-for-one basis.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Bradley J. Wright, as</w:t>
            </w:r>
          </w:p>
        </w:tc>
        <w:tc>
          <w:tcPr>
            <w:tcW w:w="6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1293" TargetMode="External"/><Relationship Id="rId14" Type="http://schemas.openxmlformats.org/officeDocument/2006/relationships/hyperlink" Target="http://www.sec.gov/cgi-bin/browse-edgar?action=getcompany&amp;CIK=0001998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2026-05-15T17:56:08Z</dcterms:created>
  <dcterms:modified xsi:type="dcterms:W3CDTF">2026-05-15T17:56:08Z</dcterms:modified>
</cp:coreProperties>
</file>