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301906-8k_proficient.htm"/>
      <w:bookmarkStart w:id="1" w:name="ksea03019068k_proficient"/>
      <w:bookmarkEnd w:id="0"/>
      <w:bookmarkEnd w:id="1"/>
      <w:r>
        <w:rPr>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Washington, D.C. 20549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3_edei--DocumentType_c20260813__20"/>
      <w:bookmarkEnd w:id="2"/>
      <w:r>
        <w:rPr>
          <w:rFonts w:ascii="Times New Roman;Times;Serif" w:hAnsi="Times New Roman;Times;Serif"/>
          <w:b/>
          <w:i w:val="false"/>
          <w:caps w:val="false"/>
          <w:smallCaps w:val="false"/>
          <w:sz w:val="20"/>
        </w:rPr>
        <w:t>8-K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CURRENT REPORT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Pursuant to Section 13 or 15(d)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of the Securities Exchange Act of 1934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3_edei--DocumentPeriodEndDate_c202"/>
      <w:bookmarkEnd w:id="3"/>
      <w:r>
        <w:rPr>
          <w:rFonts w:ascii="Times New Roman;Times;Serif" w:hAnsi="Times New Roman;Times;Serif"/>
          <w:b/>
          <w:i w:val="false"/>
          <w:caps w:val="false"/>
          <w:smallCaps w:val="false"/>
          <w:sz w:val="20"/>
        </w:rPr>
        <w:t>August 13,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4" w:name="xdx_905_edei--EntityRegistrantName_c2026"/>
      <w:bookmarkEnd w:id="4"/>
      <w:r>
        <w:rPr>
          <w:rFonts w:ascii="Times New Roman;Times;Serif" w:hAnsi="Times New Roman;Times;Serif"/>
          <w:b/>
          <w:i w:val="false"/>
          <w:caps w:val="false"/>
          <w:smallCaps w:val="false"/>
          <w:sz w:val="20"/>
        </w:rPr>
        <w:t>Proficient Auto Logistics,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7845" w:type="dxa"/>
        <w:jc w:val="left"/>
        <w:tblInd w:w="0" w:type="dxa"/>
        <w:tblLayout w:type="fixed"/>
        <w:tblCellMar>
          <w:top w:w="0" w:type="dxa"/>
          <w:left w:w="0" w:type="dxa"/>
          <w:bottom w:w="28" w:type="dxa"/>
          <w:right w:w="0" w:type="dxa"/>
        </w:tblCellMar>
      </w:tblPr>
      <w:tblGrid>
        <w:gridCol w:w="2780"/>
        <w:gridCol w:w="60"/>
        <w:gridCol w:w="2645"/>
        <w:gridCol w:w="60"/>
        <w:gridCol w:w="2300"/>
      </w:tblGrid>
      <w:tr>
        <w:trPr/>
        <w:tc>
          <w:tcPr>
            <w:tcW w:w="2780" w:type="dxa"/>
            <w:tcBorders>
              <w:bottom w:val="single" w:sz="12" w:space="0" w:color="000000"/>
            </w:tcBorders>
            <w:vAlign w:val="center"/>
          </w:tcPr>
          <w:p>
            <w:pPr>
              <w:pStyle w:val="TableContents"/>
              <w:bidi w:val="0"/>
              <w:spacing w:before="0" w:after="283"/>
              <w:jc w:val="center"/>
              <w:rPr>
                <w:b/>
              </w:rPr>
            </w:pPr>
            <w:bookmarkStart w:id="5" w:name="xdx_909_edei--EntityIncorporationStateCo"/>
            <w:bookmarkEnd w:id="5"/>
            <w:r>
              <w:rPr>
                <w:b/>
              </w:rPr>
              <w:t>Delaware</w:t>
            </w:r>
          </w:p>
        </w:tc>
        <w:tc>
          <w:tcPr>
            <w:tcW w:w="60" w:type="dxa"/>
            <w:tcBorders/>
            <w:tcMar>
              <w:bottom w:w="0" w:type="dxa"/>
            </w:tcMar>
            <w:vAlign w:val="center"/>
          </w:tcPr>
          <w:p>
            <w:pPr>
              <w:pStyle w:val="TableContents"/>
              <w:bidi w:val="0"/>
              <w:spacing w:before="0" w:after="283"/>
              <w:jc w:val="left"/>
              <w:rPr/>
            </w:pPr>
            <w:r>
              <w:rPr/>
              <w:t> </w:t>
            </w:r>
          </w:p>
        </w:tc>
        <w:tc>
          <w:tcPr>
            <w:tcW w:w="2645" w:type="dxa"/>
            <w:tcBorders>
              <w:bottom w:val="single" w:sz="12" w:space="0" w:color="000000"/>
            </w:tcBorders>
            <w:vAlign w:val="center"/>
          </w:tcPr>
          <w:p>
            <w:pPr>
              <w:pStyle w:val="TableContents"/>
              <w:bidi w:val="0"/>
              <w:spacing w:before="0" w:after="283"/>
              <w:jc w:val="center"/>
              <w:rPr>
                <w:b/>
              </w:rPr>
            </w:pPr>
            <w:bookmarkStart w:id="6" w:name="xdx_90F_edei--EntityFileNumber_c20260813"/>
            <w:bookmarkEnd w:id="6"/>
            <w:r>
              <w:rPr>
                <w:b/>
              </w:rPr>
              <w:t>001-42035</w:t>
            </w:r>
          </w:p>
        </w:tc>
        <w:tc>
          <w:tcPr>
            <w:tcW w:w="60" w:type="dxa"/>
            <w:tcBorders/>
            <w:tcMar>
              <w:bottom w:w="0" w:type="dxa"/>
            </w:tcMar>
            <w:vAlign w:val="center"/>
          </w:tcPr>
          <w:p>
            <w:pPr>
              <w:pStyle w:val="TableContents"/>
              <w:bidi w:val="0"/>
              <w:spacing w:before="0" w:after="283"/>
              <w:jc w:val="left"/>
              <w:rPr/>
            </w:pPr>
            <w:r>
              <w:rPr/>
              <w:t> </w:t>
            </w:r>
          </w:p>
        </w:tc>
        <w:tc>
          <w:tcPr>
            <w:tcW w:w="2300" w:type="dxa"/>
            <w:tcBorders>
              <w:bottom w:val="single" w:sz="12" w:space="0" w:color="000000"/>
            </w:tcBorders>
            <w:vAlign w:val="center"/>
          </w:tcPr>
          <w:p>
            <w:pPr>
              <w:pStyle w:val="TableContents"/>
              <w:bidi w:val="0"/>
              <w:spacing w:before="0" w:after="283"/>
              <w:jc w:val="center"/>
              <w:rPr>
                <w:b/>
              </w:rPr>
            </w:pPr>
            <w:bookmarkStart w:id="7" w:name="xdx_903_edei--EntityTaxIdentificationNum"/>
            <w:bookmarkEnd w:id="7"/>
            <w:r>
              <w:rPr>
                <w:b/>
              </w:rPr>
              <w:t>93-1869180</w:t>
            </w:r>
          </w:p>
        </w:tc>
      </w:tr>
      <w:tr>
        <w:trPr/>
        <w:tc>
          <w:tcPr>
            <w:tcW w:w="2780" w:type="dxa"/>
            <w:tcBorders/>
            <w:tcMar>
              <w:bottom w:w="0" w:type="dxa"/>
            </w:tcMar>
            <w:vAlign w:val="center"/>
          </w:tcPr>
          <w:p>
            <w:pPr>
              <w:pStyle w:val="TableContents"/>
              <w:bidi w:val="0"/>
              <w:spacing w:before="0" w:after="283"/>
              <w:jc w:val="center"/>
              <w:rPr>
                <w:b/>
              </w:rPr>
            </w:pPr>
            <w:r>
              <w:rPr>
                <w:b/>
              </w:rPr>
              <w:t xml:space="preserve">(State or other jurisdiction </w:t>
              <w:br/>
              <w:t>of incorporation)</w:t>
            </w:r>
          </w:p>
        </w:tc>
        <w:tc>
          <w:tcPr>
            <w:tcW w:w="60" w:type="dxa"/>
            <w:tcBorders/>
            <w:tcMar>
              <w:bottom w:w="0" w:type="dxa"/>
            </w:tcMar>
            <w:vAlign w:val="center"/>
          </w:tcPr>
          <w:p>
            <w:pPr>
              <w:pStyle w:val="TableContents"/>
              <w:bidi w:val="0"/>
              <w:spacing w:before="0" w:after="283"/>
              <w:jc w:val="center"/>
              <w:rPr/>
            </w:pPr>
            <w:r>
              <w:rPr/>
              <w:t> </w:t>
            </w:r>
          </w:p>
        </w:tc>
        <w:tc>
          <w:tcPr>
            <w:tcW w:w="2645" w:type="dxa"/>
            <w:tcBorders/>
            <w:tcMar>
              <w:bottom w:w="0" w:type="dxa"/>
            </w:tcMar>
            <w:vAlign w:val="center"/>
          </w:tcPr>
          <w:p>
            <w:pPr>
              <w:pStyle w:val="TableContents"/>
              <w:bidi w:val="0"/>
              <w:spacing w:before="0" w:after="283"/>
              <w:jc w:val="center"/>
              <w:rPr>
                <w:b/>
              </w:rPr>
            </w:pPr>
            <w:r>
              <w:rPr>
                <w:b/>
              </w:rPr>
              <w:t>(Commission file number)</w:t>
            </w:r>
          </w:p>
        </w:tc>
        <w:tc>
          <w:tcPr>
            <w:tcW w:w="60" w:type="dxa"/>
            <w:tcBorders/>
            <w:tcMar>
              <w:bottom w:w="0" w:type="dxa"/>
            </w:tcMar>
            <w:vAlign w:val="center"/>
          </w:tcPr>
          <w:p>
            <w:pPr>
              <w:pStyle w:val="TableContents"/>
              <w:bidi w:val="0"/>
              <w:spacing w:before="0" w:after="283"/>
              <w:jc w:val="center"/>
              <w:rPr/>
            </w:pPr>
            <w:r>
              <w:rPr/>
              <w:t> </w:t>
            </w:r>
          </w:p>
        </w:tc>
        <w:tc>
          <w:tcPr>
            <w:tcW w:w="2300" w:type="dxa"/>
            <w:tcBorders/>
            <w:tcMar>
              <w:bottom w:w="0" w:type="dxa"/>
            </w:tcMar>
            <w:vAlign w:val="center"/>
          </w:tcPr>
          <w:p>
            <w:pPr>
              <w:pStyle w:val="TableContents"/>
              <w:bidi w:val="0"/>
              <w:spacing w:before="0" w:after="283"/>
              <w:jc w:val="center"/>
              <w:rPr>
                <w:b/>
              </w:rPr>
            </w:pPr>
            <w:r>
              <w:rPr>
                <w:b/>
              </w:rPr>
              <w:t>(IRS employer</w:t>
              <w:br/>
              <w:t>identification number)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8" w:name="xdx_90E_edei--EntityAddressAddressLine1_"/>
      <w:bookmarkEnd w:id="8"/>
      <w:r>
        <w:rPr>
          <w:rFonts w:ascii="Times New Roman;Times;Serif" w:hAnsi="Times New Roman;Times;Serif"/>
          <w:b/>
          <w:i w:val="false"/>
          <w:caps w:val="false"/>
          <w:smallCaps w:val="false"/>
          <w:sz w:val="20"/>
        </w:rPr>
        <w:t xml:space="preserve">12276 San Jose Blvd., </w:t>
      </w:r>
      <w:bookmarkStart w:id="9" w:name="xdx_906_edei--EntityAddressAddressLine2_"/>
      <w:bookmarkEnd w:id="9"/>
      <w:r>
        <w:rPr>
          <w:rFonts w:ascii="Times New Roman;Times;Serif" w:hAnsi="Times New Roman;Times;Serif"/>
          <w:b/>
          <w:i w:val="false"/>
          <w:caps w:val="false"/>
          <w:smallCaps w:val="false"/>
          <w:sz w:val="20"/>
        </w:rPr>
        <w:t>Suite 426</w:t>
      </w:r>
    </w:p>
    <w:p>
      <w:pPr>
        <w:pStyle w:val="TextBody"/>
        <w:bidi w:val="0"/>
        <w:spacing w:before="0" w:after="0"/>
        <w:jc w:val="center"/>
        <w:rPr>
          <w:rFonts w:ascii="Times New Roman;Times;Serif" w:hAnsi="Times New Roman;Times;Serif"/>
          <w:b/>
          <w:i w:val="false"/>
          <w:caps w:val="false"/>
          <w:smallCaps w:val="false"/>
          <w:sz w:val="20"/>
        </w:rPr>
      </w:pPr>
      <w:bookmarkStart w:id="10" w:name="xdx_90F_edei--EntityAddressCityOrTown_c2"/>
      <w:bookmarkEnd w:id="10"/>
      <w:r>
        <w:rPr>
          <w:rFonts w:ascii="Times New Roman;Times;Serif" w:hAnsi="Times New Roman;Times;Serif"/>
          <w:b/>
          <w:i w:val="false"/>
          <w:caps w:val="false"/>
          <w:smallCaps w:val="false"/>
          <w:sz w:val="20"/>
        </w:rPr>
        <w:t xml:space="preserve">Jacksonville, </w:t>
      </w:r>
      <w:bookmarkStart w:id="11" w:name="xdx_90F_edei--EntityAddressStateOrProvin"/>
      <w:bookmarkEnd w:id="11"/>
      <w:r>
        <w:rPr>
          <w:rFonts w:ascii="Times New Roman;Times;Serif" w:hAnsi="Times New Roman;Times;Serif"/>
          <w:b/>
          <w:i w:val="false"/>
          <w:caps w:val="false"/>
          <w:smallCaps w:val="false"/>
          <w:sz w:val="20"/>
        </w:rPr>
        <w:t xml:space="preserve">FL </w:t>
      </w:r>
      <w:bookmarkStart w:id="12" w:name="xdx_903_edei--EntityAddressPostalZipCode"/>
      <w:bookmarkEnd w:id="12"/>
      <w:r>
        <w:rPr>
          <w:rFonts w:ascii="Times New Roman;Times;Serif" w:hAnsi="Times New Roman;Times;Serif"/>
          <w:b/>
          <w:i w:val="false"/>
          <w:caps w:val="false"/>
          <w:smallCaps w:val="false"/>
          <w:sz w:val="20"/>
        </w:rPr>
        <w:t xml:space="preserve">32223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(Address of principal executive offices)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 (</w:t>
      </w:r>
      <w:bookmarkStart w:id="13" w:name="xdx_906_edei--CityAreaCode_c20260813__20"/>
      <w:bookmarkEnd w:id="13"/>
      <w:r>
        <w:rPr>
          <w:rFonts w:ascii="Times New Roman;Times;Serif" w:hAnsi="Times New Roman;Times;Serif"/>
          <w:b/>
          <w:i w:val="false"/>
          <w:caps w:val="false"/>
          <w:smallCaps w:val="false"/>
          <w:sz w:val="20"/>
        </w:rPr>
        <w:t xml:space="preserve">904) </w:t>
      </w:r>
      <w:bookmarkStart w:id="14" w:name="xdx_900_edei--LocalPhoneNumber_c20260813"/>
      <w:bookmarkEnd w:id="14"/>
      <w:r>
        <w:rPr>
          <w:rFonts w:ascii="Times New Roman;Times;Serif" w:hAnsi="Times New Roman;Times;Serif"/>
          <w:b/>
          <w:i w:val="false"/>
          <w:caps w:val="false"/>
          <w:smallCaps w:val="false"/>
          <w:sz w:val="20"/>
        </w:rPr>
        <w:t>506-7918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is intended to simultaneously satisfy the filing obligations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8770" w:type="dxa"/>
        <w:jc w:val="left"/>
        <w:tblInd w:w="0" w:type="dxa"/>
        <w:tblLayout w:type="fixed"/>
        <w:tblCellMar>
          <w:top w:w="0" w:type="dxa"/>
          <w:left w:w="0" w:type="dxa"/>
          <w:bottom w:w="0" w:type="dxa"/>
          <w:right w:w="0" w:type="dxa"/>
        </w:tblCellMar>
      </w:tblPr>
      <w:tblGrid>
        <w:gridCol w:w="245"/>
        <w:gridCol w:w="8525"/>
      </w:tblGrid>
      <w:tr>
        <w:trPr/>
        <w:tc>
          <w:tcPr>
            <w:tcW w:w="245" w:type="dxa"/>
            <w:tcBorders/>
            <w:vAlign w:val="center"/>
          </w:tcPr>
          <w:p>
            <w:pPr>
              <w:pStyle w:val="TableContents"/>
              <w:bidi w:val="0"/>
              <w:spacing w:before="0" w:after="283"/>
              <w:jc w:val="left"/>
              <w:rPr/>
            </w:pPr>
            <w:bookmarkStart w:id="15" w:name="xdx_90F_edei--WrittenCommunications_c202"/>
            <w:bookmarkEnd w:id="15"/>
            <w:r>
              <w:rPr/>
              <w:t>☐</w:t>
            </w:r>
          </w:p>
        </w:tc>
        <w:tc>
          <w:tcPr>
            <w:tcW w:w="8525" w:type="dxa"/>
            <w:tcBorders/>
            <w:vAlign w:val="center"/>
          </w:tcPr>
          <w:p>
            <w:pPr>
              <w:pStyle w:val="TableContents"/>
              <w:bidi w:val="0"/>
              <w:spacing w:before="0" w:after="283"/>
              <w:jc w:val="both"/>
              <w:rPr/>
            </w:pPr>
            <w:r>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8800" w:type="dxa"/>
        <w:jc w:val="left"/>
        <w:tblInd w:w="0" w:type="dxa"/>
        <w:tblLayout w:type="fixed"/>
        <w:tblCellMar>
          <w:top w:w="0" w:type="dxa"/>
          <w:left w:w="0" w:type="dxa"/>
          <w:bottom w:w="0" w:type="dxa"/>
          <w:right w:w="0" w:type="dxa"/>
        </w:tblCellMar>
      </w:tblPr>
      <w:tblGrid>
        <w:gridCol w:w="245"/>
        <w:gridCol w:w="8555"/>
      </w:tblGrid>
      <w:tr>
        <w:trPr/>
        <w:tc>
          <w:tcPr>
            <w:tcW w:w="245" w:type="dxa"/>
            <w:tcBorders/>
            <w:vAlign w:val="center"/>
          </w:tcPr>
          <w:p>
            <w:pPr>
              <w:pStyle w:val="TableContents"/>
              <w:bidi w:val="0"/>
              <w:spacing w:before="0" w:after="283"/>
              <w:jc w:val="left"/>
              <w:rPr/>
            </w:pPr>
            <w:bookmarkStart w:id="16" w:name="xdx_90A_edei--SolicitingMaterial_c202608"/>
            <w:bookmarkEnd w:id="16"/>
            <w:r>
              <w:rPr/>
              <w:t>☐</w:t>
            </w:r>
          </w:p>
        </w:tc>
        <w:tc>
          <w:tcPr>
            <w:tcW w:w="8555" w:type="dxa"/>
            <w:tcBorders/>
            <w:vAlign w:val="center"/>
          </w:tcPr>
          <w:p>
            <w:pPr>
              <w:pStyle w:val="TableContents"/>
              <w:bidi w:val="0"/>
              <w:spacing w:before="0" w:after="283"/>
              <w:jc w:val="both"/>
              <w:rPr/>
            </w:pPr>
            <w:r>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7" w:name="xdx_909_edei--PreCommencementTenderOffer"/>
            <w:bookmarkEnd w:id="17"/>
            <w:r>
              <w:rPr/>
              <w:t>☐</w:t>
            </w:r>
          </w:p>
        </w:tc>
        <w:tc>
          <w:tcPr>
            <w:tcW w:w="9960" w:type="dxa"/>
            <w:tcBorders/>
            <w:vAlign w:val="center"/>
          </w:tcPr>
          <w:p>
            <w:pPr>
              <w:pStyle w:val="TableContents"/>
              <w:bidi w:val="0"/>
              <w:spacing w:before="0" w:after="283"/>
              <w:jc w:val="both"/>
              <w:rPr/>
            </w:pPr>
            <w:r>
              <w:rPr/>
              <w:t>Pre-commencement communications pursuant to Rule 14d-2(b) under the Exchange Act (17 CFR 240.14d-2(b))</w:t>
            </w:r>
          </w:p>
        </w:tc>
      </w:tr>
    </w:tbl>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8" w:name="xdx_903_edei--PreCommencementIssuerTende"/>
            <w:bookmarkEnd w:id="18"/>
            <w:r>
              <w:rPr/>
              <w:t>☐</w:t>
            </w:r>
          </w:p>
        </w:tc>
        <w:tc>
          <w:tcPr>
            <w:tcW w:w="9960"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shd w:fill="FFFFFF" w:val="clear"/>
        <w:bidi w:val="0"/>
        <w:spacing w:before="0" w:after="0"/>
        <w:ind w:left="0" w:right="0" w:hanging="0"/>
        <w:jc w:val="right"/>
        <w:rPr>
          <w:caps w:val="false"/>
          <w:smallCaps w:val="false"/>
        </w:rPr>
      </w:pPr>
      <w:r>
        <w:rPr>
          <w:caps w:val="false"/>
          <w:smallCaps w:val="false"/>
        </w:rPr>
        <w:t> </w:t>
      </w:r>
    </w:p>
    <w:p>
      <w:pPr>
        <w:pStyle w:val="TextBody"/>
        <w:shd w:fill="FFFFFF" w:val="clear"/>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19" w:name="xdx_90D_edei--EntityEmergingGrowthCompan"/>
      <w:bookmarkEnd w:id="19"/>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0" w:name="xdx_905_edei--EntityExTransitionPeriod_c"/>
      <w:bookmarkEnd w:id="20"/>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28" w:type="dxa"/>
          <w:right w:w="0" w:type="dxa"/>
        </w:tblCellMar>
      </w:tblPr>
      <w:tblGrid>
        <w:gridCol w:w="3886"/>
        <w:gridCol w:w="60"/>
        <w:gridCol w:w="1877"/>
        <w:gridCol w:w="60"/>
        <w:gridCol w:w="4322"/>
      </w:tblGrid>
      <w:tr>
        <w:trPr/>
        <w:tc>
          <w:tcPr>
            <w:tcW w:w="3886" w:type="dxa"/>
            <w:tcBorders>
              <w:bottom w:val="single" w:sz="12" w:space="0" w:color="000000"/>
            </w:tcBorders>
            <w:shd w:fill="FFFFFF" w:val="clear"/>
            <w:vAlign w:val="center"/>
          </w:tcPr>
          <w:p>
            <w:pPr>
              <w:pStyle w:val="TableContents"/>
              <w:bidi w:val="0"/>
              <w:spacing w:before="0" w:after="283"/>
              <w:jc w:val="center"/>
              <w:rPr>
                <w:b/>
              </w:rPr>
            </w:pPr>
            <w:r>
              <w:rPr>
                <w:b/>
              </w:rPr>
              <w:t>Title of each class</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877" w:type="dxa"/>
            <w:tcBorders>
              <w:bottom w:val="single" w:sz="12" w:space="0" w:color="000000"/>
            </w:tcBorders>
            <w:shd w:fill="FFFFFF" w:val="clear"/>
            <w:vAlign w:val="center"/>
          </w:tcPr>
          <w:p>
            <w:pPr>
              <w:pStyle w:val="TableContents"/>
              <w:bidi w:val="0"/>
              <w:spacing w:before="0" w:after="283"/>
              <w:jc w:val="center"/>
              <w:rPr>
                <w:b/>
              </w:rPr>
            </w:pPr>
            <w:r>
              <w:rPr>
                <w:b/>
              </w:rPr>
              <w:t>Trading Symbol(s)</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4322" w:type="dxa"/>
            <w:tcBorders>
              <w:bottom w:val="single" w:sz="12" w:space="0" w:color="000000"/>
            </w:tcBorders>
            <w:shd w:fill="FFFFFF" w:val="clear"/>
            <w:vAlign w:val="center"/>
          </w:tcPr>
          <w:p>
            <w:pPr>
              <w:pStyle w:val="TableContents"/>
              <w:bidi w:val="0"/>
              <w:spacing w:before="0" w:after="283"/>
              <w:jc w:val="center"/>
              <w:rPr>
                <w:b/>
              </w:rPr>
            </w:pPr>
            <w:r>
              <w:rPr>
                <w:b/>
              </w:rPr>
              <w:t>Name of each exchange on which registered</w:t>
            </w:r>
          </w:p>
        </w:tc>
      </w:tr>
      <w:tr>
        <w:trPr/>
        <w:tc>
          <w:tcPr>
            <w:tcW w:w="3886" w:type="dxa"/>
            <w:tcBorders/>
            <w:shd w:fill="CCEEFF" w:val="clear"/>
            <w:tcMar>
              <w:bottom w:w="0" w:type="dxa"/>
            </w:tcMar>
            <w:vAlign w:val="center"/>
          </w:tcPr>
          <w:p>
            <w:pPr>
              <w:pStyle w:val="TableContents"/>
              <w:bidi w:val="0"/>
              <w:spacing w:before="0" w:after="283"/>
              <w:jc w:val="center"/>
              <w:rPr/>
            </w:pPr>
            <w:bookmarkStart w:id="21" w:name="xdx_90C_edei--Security12bTitle_c20260813"/>
            <w:bookmarkEnd w:id="21"/>
            <w:r>
              <w:rPr/>
              <w:t>Common Stock, $0.01 par value per share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877" w:type="dxa"/>
            <w:tcBorders/>
            <w:shd w:fill="CCEEFF" w:val="clear"/>
            <w:tcMar>
              <w:bottom w:w="0" w:type="dxa"/>
            </w:tcMar>
            <w:vAlign w:val="center"/>
          </w:tcPr>
          <w:p>
            <w:pPr>
              <w:pStyle w:val="TableContents"/>
              <w:bidi w:val="0"/>
              <w:spacing w:before="0" w:after="283"/>
              <w:jc w:val="center"/>
              <w:rPr/>
            </w:pPr>
            <w:bookmarkStart w:id="22" w:name="xdx_904_edei--TradingSymbol_c20260813__2"/>
            <w:bookmarkEnd w:id="22"/>
            <w:r>
              <w:rPr/>
              <w:t>PAL</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4322" w:type="dxa"/>
            <w:tcBorders/>
            <w:shd w:fill="CCEEFF" w:val="clear"/>
            <w:tcMar>
              <w:bottom w:w="0" w:type="dxa"/>
            </w:tcMar>
            <w:vAlign w:val="center"/>
          </w:tcPr>
          <w:p>
            <w:pPr>
              <w:pStyle w:val="TableContents"/>
              <w:bidi w:val="0"/>
              <w:spacing w:before="0" w:after="283"/>
              <w:jc w:val="center"/>
              <w:rPr/>
            </w:pPr>
            <w:bookmarkStart w:id="23" w:name="xdx_90B_edei--SecurityExchangeName_c2026"/>
            <w:bookmarkEnd w:id="23"/>
            <w:r>
              <w:rPr/>
              <w:t>Nasdaq Global Market</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Entry into a Material Definitive Agreement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Convertible Note Subscription Agreements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13, 2026, Proficient Auto Logistics, Inc. (the “Company”) completed its previously announced private offering of $75.0 million aggregate principal amount of 5.500% convertible senior notes due 2033 (the “notes”) to persons reasonably believed to be qualified institutional buyers in reliance on the exemption from registration provided by Section 4(a)(2) under the Securities Act of 1933, as amended (the “Securities Act”). The notes were sold under subscription agreements entered into by the Company as of August 10, 2026 with certain investors (collectively, the “investors”).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subscription agreements contain a number of representations and warranties made by the Company and the purchasers of the notes solely for the benefit of certain of the parties to the subscription agreements, which in certain cases are subject to specified exceptions and materiality, knowledge and other qualifications contained in the subscription agreements. The subscription agreements also contain certain customary covenants for transactions of this type by the Company and the purchasers of the notes.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subscription agreements does not purport to be complete and is qualified in its entirety by reference to the full text of the form of subscription agreement, which will be filed as an exhibit to an amendment to this Form 8-K or the Company’s Quarterly Report on Form 10-Q for the quarter ending September 30, 2026.</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Indenture and Notes</w:t>
      </w:r>
    </w:p>
    <w:p>
      <w:pPr>
        <w:pStyle w:val="TextBody"/>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were issued pursuant to the Indenture, dated as of August 13, 2026 (the “Indenture”), between the Company and U.S. Bank Trust Company, National Association, as trustee (“Trustee”). The notes are the senior, unsecured obligations of the Company and will accrue interest at a rate of 5.500% per annum, payable semi-annually in arrears on February 15 and August 15 of each year, beginning on February 15, 2027. The notes will mature on August 15, 2033, unless earlier purchased, redeemed or converted.</w:t>
      </w:r>
    </w:p>
    <w:p>
      <w:pPr>
        <w:pStyle w:val="TextBody"/>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may surrender their notes for conversion at any time prior to the close of business on the business day immediately preceding May 15, 2033 only upon satisfaction of one or more of the following conditions: (1) during any calendar quarter commencing after the calendar quarter ending on December 31, 2026 (and only during such calendar quarter), if the last reported sale price of the Company’s common stock, for at least 20 trading days (whether or not consecutive) during the period of 30 consecutive trading days ending on the last trading day of the calendar quarter immediately preceding the calendar quarter in which the conversion occurs, is more than 130% of the conversion price of the notes in effect on each applicable trading day; (2) during the five consecutive business-day period following any ten consecutive trading-day period in which the trading price per $1,000 principal amount of the notes for each such trading day is less than 98% of the last reported sale price of the Company’s common stock on such date multiplied by the then-current conversion rate; (3) upon the occurrence of specified corporate events described in the Indenture; or (4) if the Company calls any or all of the notes for redemption, at any time prior to the close of business on the second business day immediately preceding the redemption date. On or after May 15, 2033, until the close of business on the second scheduled trading day immediately preceding the maturity date, holders may surrender their notes for conversion at any time, regardless of whether any of the foregoing conditions are satisfied. Upon conversion, the Company will settle conversions by paying or delivering, as the case may be, cash, shares of its common stock or a combination of cash and shares of common stock, at the Company’s election, as described in the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initial conversion rate for the notes is 153.7870 shares of the Company’s common stock per $1,000 principal amount of notes, which is equivalent to an initial conversion price of approximately $6.50 per share of common stock. The conversion rate will be subject to adjustment upon the occurrence of certain events but will not be adjusted for any accrued and unpaid interest. In addition, following certain corporate events that occur prior to the maturity date or in connection with any redemption of all or a portion of the notes prior to the maturity date, the Company will increase the conversion rate for a holder who elects to convert its notes in connection with a corporate event or during the related redemption period in certain circumstances described in the Indenture.</w:t>
      </w:r>
    </w:p>
    <w:p>
      <w:pPr>
        <w:pStyle w:val="TextBody"/>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will be redeemable, in whole or in part (subject to certain limitations), for cash at the Company’s option at any time, and from time to time, on or after August 15, 2030 and on or before the 60th scheduled trading day immediately before the maturity date, but only if the last reported sale price per common share exceeds 130% of the conversion price for a specified period of time and certain other conditions are satisfied. In addition, the notes are redeemable, in whole and not in part, at the Company’s option if (i) certain changes in tax law occur; or (ii) the principal amount of the notes outstanding is less than 10% of the aggregate principal amount of notes initially issued, in each case, subject to certain conditions. The redemption price will be equal to the principal amount of the notes to be redeemed, plus accrued and unpaid interest, if any, to, but excluding, the redemption date.</w:t>
      </w:r>
    </w:p>
    <w:p>
      <w:pPr>
        <w:pStyle w:val="TextBody"/>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“fundamental change” occurs, then, subject to a limited exception, the Company will offer to repurchase the notes for cash. The repurchase price will be equal to the principal amount of the notes to be repurchased, plus accrued and unpaid interest, if any, to, but excluding, the applicable repurchase date.</w:t>
      </w:r>
    </w:p>
    <w:p>
      <w:pPr>
        <w:pStyle w:val="TextBody"/>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contains customary terms and covenants and events of default. If an Event of Default (as defined in the Indenture) occurs and is continuing, the Trustee or the holders of at least 25% in principal amount of the then outstanding notes may declare by written notice 100% of the principal of and accrued and unpaid interest, if any, on all the notes to be due and payable.</w:t>
      </w:r>
    </w:p>
    <w:p>
      <w:pPr>
        <w:pStyle w:val="TextBody"/>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Indenture and the form of note does not purport to be complete and is qualified in its entirety by reference to the full text of the Indenture, which will be filed as an exhibit to an amendment to this Form 8-K or the Company’s Quarterly Report on Form 10-Q for the quarter ending September 30, 2026, and the form of note, which is an exhibit to the Indenture.</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and the common stock issuable upon conversion of the notes, if any, have not been and will not be registered under the Securities Act, or any state securities laws, and unless so registered, may not be offered or sold in the United States except pursuant to an applicable exemption from such registration requirements.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Capped Call Transactions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pricing of the notes, the Company entered into privately negotiated capped call transactions (the “capped call transactions”) with certain financial institutions (the “option counterparties”). The capped call transactions cover, initially, the number of shares of the Company’s common stock underlying the notes, subject to anti-dilution adjustments substantially similar to those applicable to the notes. The Company used approximately $9.2 million of the net proceeds from the notes to pay the cost of the capped call transactions.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capped call transactions generally are expected to reduce potential dilution to the Company’s common stock upon any conversion of the notes and/or offset any potential cash payments the Company is required to make in excess of the principal amount of converted notes, as the case may be, with such reduction and/or offset subject to a cap based on the cap price of the capped call transactions. The cap price of the capped call transactions initially will be $8.93 per share of the Company’s common stock, which represents a premium of 75% over the last reported sale price of $5.10 on the Nasdaq exchange on August 11, 2026, and is subject to certain adjustments under the terms of the capped call transactions. Unless terminated early or extended, the capped call transactions are expected to expire over a period of 60 trading days beginning on May 18, 2033.</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capped call transactions are separate transactions, in each case, entered into by the Company with the option counterparties, and are not part of the terms of the notes and will not affect any holder’s rights under the notes. Holders of the notes will not have any rights with respect to the capped call transactions.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summary of the foregoing transactions is qualified in its entirety by reference to the text of the capped call confirmation, the form of which will be filed as an exhibit to an amendment to this Form 8-K or the Company’s Quarterly Report on Form 10-Q for the quarter ending September 30, 2026.</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2.01 Completion of Acquisition or Disposition of Assets.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13, 2026, Proficient Services, Inc. (the “Buyer”), a wholly owned subsidiary of the Company, completed its previously announced acquisition of Hansen &amp; Adkins Auto Transport (“H&amp;A”) pursuant to that certain Equity Purchase Agreement (the “Purchase Agreement”), dated August 10, 2026, by and between Proficient Services, Inc., a wholly owned subsidiary of the Company and H&amp;A CN Acquisition, Ltd., Hansen &amp; Adkins Auto Transport, Inc., Hansen &amp; Adkins Auto Logistics, Inc., Royal Truck Leasing, LLC, Hansen &amp; Adkins Canada Ltd., Steven Hansen (“Mr. Hansen”), Louie Adkins, Hansen &amp; Adkins, Inc., Royal Holdco, LLC, The Steven Hansen Separate Property Trust, The Louie Adkins 2024 Trust, and Steven Hansen, in his capacity of the Seller Representative (collectively, the “Sellers”).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the Purchase Agreement, at the effective time of the acquisition, the Buyer paid an upfront purchase price of approximately $130 million, including assumed debt of approximately $75 million. Of the approximately $55 million remaining, 421,354 shares of common stock of the Company were issued to Mr. Hansen (the “Acquisition Shares”) and approximately $52 million was paid in cash (subject to customary post-closing adjustments (each as set forth in the Purchase Agreement)). The terms of the Purchase Agreement also provide for potential earnout payments of up to approximately $22.1 million, of which $2 million would be payable in shares of common stock to Mr. Hansen (the “Earnout Consideration”) with the remainder payable in cash. The cash consideration was funded by available cash resources and borrowings under the Company’s credit facilities.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foregoing summary and description of the Purchase Agreement does not purport to be complete and is subject to, and qualified in its entirety by, the full text of the Purchase Agreement, which will be filed as an exhibit to an amendment to this Form 8-K or the Company’s Quarterly Report on Form 10-Q for the quarter ending September 30, 2026.</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2.03 Creation of a Direct Financial Obligation or an Obligation under an Off-Balance Sheet Arrangement of a Registrant.</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in Item 1.01 above is incorporated by reference into this Item 2.03.</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3.02 Unregistered Sales of Securities Convertible or Exercisable into Equity Securities.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in Items 1.01 and 2.01, to the extent required by Item 3.02, is incorporated by reference into this Item 3.02 by reference.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offered and sold the notes to the investors in reliance on the exemption from registration provided by Section 4(a)(2) of the Securities Act. The Company relied on these exemptions from registration based in part on representations made by the investors in the Subscription Agreements. The shares of common stock issuable upon conversion of the notes, if any, have not been registered under the Securities Act and may not be offered or sold in the United States absent registration or an applicable exemption from registration requirements.</w:t>
      </w:r>
    </w:p>
    <w:p>
      <w:pPr>
        <w:pStyle w:val="TextBody"/>
        <w:shd w:fill="FFFFFF" w:val="clear"/>
        <w:bidi w:val="0"/>
        <w:spacing w:before="0" w:after="0"/>
        <w:ind w:left="0" w:right="0" w:firstLine="72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 and sale of the Acquisition Shares pursuant to the Purchase Agreement were made in reliance on the exemption afforded by Section 4(a)(2) of the Securities Act and corresponding provisions of state securities or “blue sky” laws. The Acquisition Shares were not registered under the Securities Act or any state securities laws and may not be reoffered or resold in the United States absent registration with the Securities and Exchange Commission or an applicable exemption from the registration requirements. The issuance and sale of the Acquisition Shares did not involve a public offering and were made without general solicitation or general advertising.</w:t>
      </w:r>
    </w:p>
    <w:p>
      <w:pPr>
        <w:pStyle w:val="TextBody"/>
        <w:shd w:fill="FFFFFF" w:val="clear"/>
        <w:bidi w:val="0"/>
        <w:spacing w:before="0" w:after="0"/>
        <w:ind w:left="0" w:right="0" w:firstLine="72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this Current Report on Form 8-K nor any exhibit attached hereto is an offer to sell or the solicitation of an offer to buy shares of common stock or other securities of the Company.</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14, 2026, the Company issued a press release announcing the completion of the acquisition of H&amp;A. A copy of the press release is furnished with this Current Report on Form 8-K as Exhibit 99.2 and incorporated by reference herein.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Item 7.01 shall not be deemed “filed” for purposes of Section 18 of the Exchange Act or otherwise subject to the liabilities of that section, nor shall it be deemed incorporated by reference in any filing under the Securities Act or the Exchange Act, except as expressly set forth by specific reference in such a filing.</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12, 2026, the Company issued a press release announcing the pricing of the offering of the notes. As required by Rule 135c under the Securities Act, a copy of the press release is filed herewith as Exhibit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90"/>
        <w:gridCol w:w="60"/>
        <w:gridCol w:w="9255"/>
      </w:tblGrid>
      <w:tr>
        <w:trPr/>
        <w:tc>
          <w:tcPr>
            <w:tcW w:w="890" w:type="dxa"/>
            <w:tcBorders>
              <w:bottom w:val="single" w:sz="12" w:space="0" w:color="000000"/>
            </w:tcBorders>
            <w:vAlign w:val="center"/>
          </w:tcPr>
          <w:p>
            <w:pPr>
              <w:pStyle w:val="TableContents"/>
              <w:bidi w:val="0"/>
              <w:spacing w:before="0" w:after="283"/>
              <w:jc w:val="left"/>
              <w:rPr>
                <w:b/>
              </w:rPr>
            </w:pPr>
            <w:r>
              <w:rPr>
                <w:b/>
              </w:rPr>
              <w:t>Exhibit</w:t>
              <w:br/>
              <w:t>Number</w:t>
            </w:r>
          </w:p>
        </w:tc>
        <w:tc>
          <w:tcPr>
            <w:tcW w:w="60" w:type="dxa"/>
            <w:tcBorders/>
            <w:tcMar>
              <w:bottom w:w="0" w:type="dxa"/>
            </w:tcMar>
            <w:vAlign w:val="center"/>
          </w:tcPr>
          <w:p>
            <w:pPr>
              <w:pStyle w:val="TableContents"/>
              <w:bidi w:val="0"/>
              <w:spacing w:before="0" w:after="283"/>
              <w:jc w:val="left"/>
              <w:rPr/>
            </w:pPr>
            <w:r>
              <w:rPr/>
              <w:t> </w:t>
            </w:r>
          </w:p>
        </w:tc>
        <w:tc>
          <w:tcPr>
            <w:tcW w:w="9255" w:type="dxa"/>
            <w:tcBorders>
              <w:bottom w:val="single" w:sz="12" w:space="0" w:color="000000"/>
            </w:tcBorders>
            <w:vAlign w:val="center"/>
          </w:tcPr>
          <w:p>
            <w:pPr>
              <w:pStyle w:val="TableContents"/>
              <w:bidi w:val="0"/>
              <w:spacing w:before="0" w:after="283"/>
              <w:jc w:val="center"/>
              <w:rPr>
                <w:b/>
              </w:rPr>
            </w:pPr>
            <w:r>
              <w:rPr>
                <w:b/>
              </w:rPr>
              <w:t>Description</w:t>
            </w:r>
          </w:p>
        </w:tc>
      </w:tr>
      <w:tr>
        <w:trPr/>
        <w:tc>
          <w:tcPr>
            <w:tcW w:w="890" w:type="dxa"/>
            <w:tcBorders/>
            <w:shd w:fill="CCEEFF" w:val="clear"/>
            <w:tcMar>
              <w:bottom w:w="0" w:type="dxa"/>
            </w:tcMar>
            <w:vAlign w:val="center"/>
          </w:tcPr>
          <w:p>
            <w:pPr>
              <w:pStyle w:val="TableContents"/>
              <w:bidi w:val="0"/>
              <w:spacing w:before="0" w:after="283"/>
              <w:jc w:val="left"/>
              <w:rPr/>
            </w:pPr>
            <w:r>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55" w:type="dxa"/>
            <w:tcBorders/>
            <w:shd w:fill="CCEEFF" w:val="clear"/>
            <w:tcMar>
              <w:bottom w:w="0" w:type="dxa"/>
            </w:tcMar>
            <w:vAlign w:val="center"/>
          </w:tcPr>
          <w:p>
            <w:pPr>
              <w:pStyle w:val="TableContents"/>
              <w:bidi w:val="0"/>
              <w:spacing w:before="0" w:after="283"/>
              <w:jc w:val="both"/>
              <w:rPr/>
            </w:pPr>
            <w:hyperlink w:anchor="ea030190601ex99-1.htm">
              <w:r>
                <w:rPr>
                  <w:rStyle w:val="InternetLink"/>
                </w:rPr>
                <w:t>Press release of Proficient Auto Logistics, Inc., dated August 11, 2026, announcing the pricing of the offering of the Company’s convertible senior notes due 2033.</w:t>
              </w:r>
            </w:hyperlink>
          </w:p>
        </w:tc>
      </w:tr>
      <w:tr>
        <w:trPr/>
        <w:tc>
          <w:tcPr>
            <w:tcW w:w="890" w:type="dxa"/>
            <w:tcBorders/>
            <w:shd w:fill="FFFFFF" w:val="clear"/>
            <w:tcMar>
              <w:bottom w:w="0" w:type="dxa"/>
            </w:tcMar>
            <w:vAlign w:val="center"/>
          </w:tcPr>
          <w:p>
            <w:pPr>
              <w:pStyle w:val="TableContents"/>
              <w:bidi w:val="0"/>
              <w:spacing w:before="0" w:after="283"/>
              <w:jc w:val="left"/>
              <w:rPr/>
            </w:pPr>
            <w:r>
              <w:rPr/>
              <w:t>99.2</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55" w:type="dxa"/>
            <w:tcBorders/>
            <w:shd w:fill="FFFFFF" w:val="clear"/>
            <w:tcMar>
              <w:bottom w:w="0" w:type="dxa"/>
            </w:tcMar>
            <w:vAlign w:val="center"/>
          </w:tcPr>
          <w:p>
            <w:pPr>
              <w:pStyle w:val="TableContents"/>
              <w:bidi w:val="0"/>
              <w:spacing w:before="0" w:after="283"/>
              <w:jc w:val="both"/>
              <w:rPr/>
            </w:pPr>
            <w:hyperlink w:anchor="ea030190601ex99-2.htm">
              <w:r>
                <w:rPr>
                  <w:rStyle w:val="InternetLink"/>
                </w:rPr>
                <w:t>Press release of Proficient Auto Logistics, Inc., dated August 14, 2026, announcing the completion of the acquisition of Hansen &amp; Adkins Auto Transport.</w:t>
              </w:r>
            </w:hyperlink>
          </w:p>
        </w:tc>
      </w:tr>
      <w:tr>
        <w:trPr/>
        <w:tc>
          <w:tcPr>
            <w:tcW w:w="890" w:type="dxa"/>
            <w:tcBorders/>
            <w:shd w:fill="CCEEFF" w:val="clear"/>
            <w:tcMar>
              <w:bottom w:w="0" w:type="dxa"/>
            </w:tcMar>
            <w:vAlign w:val="center"/>
          </w:tcPr>
          <w:p>
            <w:pPr>
              <w:pStyle w:val="TableContents"/>
              <w:bidi w:val="0"/>
              <w:spacing w:before="0" w:after="283"/>
              <w:jc w:val="left"/>
              <w:rPr/>
            </w:pPr>
            <w:r>
              <w:rPr/>
              <w:t>104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55" w:type="dxa"/>
            <w:tcBorders/>
            <w:shd w:fill="CCEEFF" w:val="clear"/>
            <w:tcMar>
              <w:bottom w:w="0" w:type="dxa"/>
            </w:tcMar>
            <w:vAlign w:val="center"/>
          </w:tcPr>
          <w:p>
            <w:pPr>
              <w:pStyle w:val="TableContents"/>
              <w:bidi w:val="0"/>
              <w:spacing w:before="0" w:after="283"/>
              <w:jc w:val="both"/>
              <w:rPr/>
            </w:pPr>
            <w:r>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14, 2026</w:t>
      </w:r>
    </w:p>
    <w:p>
      <w:pPr>
        <w:pStyle w:val="TextBody"/>
        <w:bidi w:val="0"/>
        <w:spacing w:before="0" w:after="0"/>
        <w:ind w:left="0" w:right="0" w:hanging="0"/>
        <w:jc w:val="left"/>
        <w:rPr>
          <w:caps w:val="false"/>
          <w:smallCaps w:val="false"/>
        </w:rPr>
      </w:pPr>
      <w:r>
        <w:rPr>
          <w:caps w:val="false"/>
          <w:smallCaps w:val="false"/>
        </w:rPr>
        <w:t> </w:t>
      </w:r>
    </w:p>
    <w:tbl>
      <w:tblPr>
        <w:tblW w:w="4015" w:type="dxa"/>
        <w:jc w:val="left"/>
        <w:tblInd w:w="0" w:type="dxa"/>
        <w:tblLayout w:type="fixed"/>
        <w:tblCellMar>
          <w:top w:w="0" w:type="dxa"/>
          <w:left w:w="0" w:type="dxa"/>
          <w:bottom w:w="0" w:type="dxa"/>
          <w:right w:w="0" w:type="dxa"/>
        </w:tblCellMar>
      </w:tblPr>
      <w:tblGrid>
        <w:gridCol w:w="75"/>
        <w:gridCol w:w="365"/>
        <w:gridCol w:w="3575"/>
      </w:tblGrid>
      <w:tr>
        <w:trPr/>
        <w:tc>
          <w:tcPr>
            <w:tcW w:w="75" w:type="dxa"/>
            <w:tcBorders/>
            <w:vAlign w:val="center"/>
          </w:tcPr>
          <w:p>
            <w:pPr>
              <w:pStyle w:val="TableContents"/>
              <w:bidi w:val="0"/>
              <w:spacing w:before="0" w:after="283"/>
              <w:jc w:val="left"/>
              <w:rPr/>
            </w:pPr>
            <w:r>
              <w:rPr/>
              <w:t> </w:t>
            </w:r>
          </w:p>
        </w:tc>
        <w:tc>
          <w:tcPr>
            <w:tcW w:w="3940" w:type="dxa"/>
            <w:gridSpan w:val="2"/>
            <w:tcBorders/>
            <w:vAlign w:val="center"/>
          </w:tcPr>
          <w:p>
            <w:pPr>
              <w:pStyle w:val="TableContents"/>
              <w:bidi w:val="0"/>
              <w:spacing w:before="0" w:after="283"/>
              <w:jc w:val="left"/>
              <w:rPr>
                <w:b/>
              </w:rPr>
            </w:pPr>
            <w:r>
              <w:rPr>
                <w:b/>
              </w:rPr>
              <w:t>Proficient Auto Logistics, Inc.</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5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3575" w:type="dxa"/>
            <w:tcBorders>
              <w:bottom w:val="single" w:sz="12" w:space="0" w:color="000000"/>
            </w:tcBorders>
            <w:tcMar>
              <w:bottom w:w="28" w:type="dxa"/>
            </w:tcMar>
            <w:vAlign w:val="center"/>
          </w:tcPr>
          <w:p>
            <w:pPr>
              <w:pStyle w:val="TableContents"/>
              <w:bidi w:val="0"/>
              <w:spacing w:before="0" w:after="283"/>
              <w:jc w:val="left"/>
              <w:rPr/>
            </w:pPr>
            <w:r>
              <w:rPr/>
              <w:t>/s/ Brad Wright</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575" w:type="dxa"/>
            <w:tcBorders/>
            <w:vAlign w:val="center"/>
          </w:tcPr>
          <w:p>
            <w:pPr>
              <w:pStyle w:val="TableContents"/>
              <w:bidi w:val="0"/>
              <w:spacing w:before="0" w:after="283"/>
              <w:jc w:val="left"/>
              <w:rPr/>
            </w:pPr>
            <w:r>
              <w:rPr/>
              <w:t>Brad Wright</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575" w:type="dxa"/>
            <w:tcBorders/>
            <w:vAlign w:val="center"/>
          </w:tcPr>
          <w:p>
            <w:pPr>
              <w:pStyle w:val="TableContents"/>
              <w:bidi w:val="0"/>
              <w:spacing w:before="0" w:after="283"/>
              <w:jc w:val="left"/>
              <w:rPr/>
            </w:pPr>
            <w:r>
              <w:rPr/>
              <w:t>Chief Financial Officer and Secretary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4" w:name="ea030190601ex99-1.htm"/>
      <w:bookmarkStart w:id="25" w:name="ksea030190601ex991"/>
      <w:bookmarkEnd w:id="24"/>
      <w:bookmarkEnd w:id="25"/>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sz w:val="20"/>
        </w:rPr>
      </w:pPr>
      <w:r>
        <w:rPr>
          <w:rFonts w:ascii="Times New Roman;Times;Serif" w:hAnsi="Times New Roman;Times;Serif"/>
          <w:b w:val="false"/>
          <w:i w:val="false"/>
          <w:caps/>
          <w:sz w:val="20"/>
        </w:rPr>
        <w:t>PROFICIENT AUTO LOGISTICS ANNOUNCES</w:t>
      </w:r>
    </w:p>
    <w:p>
      <w:pPr>
        <w:pStyle w:val="TextBody"/>
        <w:bidi w:val="0"/>
        <w:spacing w:before="0" w:after="0"/>
        <w:jc w:val="center"/>
        <w:rPr>
          <w:rFonts w:ascii="Times New Roman;Times;Serif" w:hAnsi="Times New Roman;Times;Serif"/>
          <w:b w:val="false"/>
          <w:i w:val="false"/>
          <w:caps/>
          <w:sz w:val="20"/>
        </w:rPr>
      </w:pPr>
      <w:r>
        <w:rPr>
          <w:rFonts w:ascii="Times New Roman;Times;Serif" w:hAnsi="Times New Roman;Times;Serif"/>
          <w:b w:val="false"/>
          <w:i w:val="false"/>
          <w:caps/>
          <w:sz w:val="20"/>
        </w:rPr>
        <w:t xml:space="preserve">PRICING OF $75 MILLION CONVERTIBLE BOND OFFERiNG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JACKSONVILLE, FLORIDA – August 11, 2026 – Proficient Auto Logistics, Inc. (NASDAQ: PAL) (the “Company” or “Proficient”), a leading provider of auto transportation and logistics services, today announced the pricing of its previously announced offering of $75.0 million aggregate principal amount of convertible senior notes due 2033 (the “notes”) in a private offering (the “offering”) to persons reasonably believed to be “qualified institutional buyers” in reliance on the exemption from registration provided by Section 4(a)(2) of the Securities Act of 1933, as amended (the “Securities Act”). The issuance and sale of the notes are expected to settle on August 13, 2026, subject to customary closing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will be senior, unsecured obligations of Proficient and will accrue interest at a rate of 5.50% per annum, payable semi-annually in arrears on February 15 and August 15 of each year, beginning on February 15, 2027. The notes will mature on August 15, 2033, unless earlier repurchased, redeemed or converted. Before May 15, 2033, noteholders will have the right to convert their notes only upon the occurrence of certain events. From and after May 15, 2033, noteholders may convert their notes at any time at their election until the close of business on the second scheduled trading day immediately before the maturity date. Proficient will settle conversions by paying or delivering, as applicable, cash, shares of Proficient common stock or a combination of cash and shares of Proficient common stock, at Proficient’s election. The initial conversion ratio is 153.7870 common shares per $1,000 principal amount of notes, which represents an initial conversion price of approximately $6.50 per common share. The initial conversion price represents a premium of approximately 27.50% over the last reported sale price of $5.10 per common share on August 11, 2026. The conversion rate and conversion price will be subject to adjustment upon the occurrence of certain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will be redeemable, in whole or in part (subject to certain limitations), for cash at Proficient’s option at any time, and from time to time, on or after August 15, 2030 and on or before the 60th scheduled trading day immediately before the maturity date, but only if the last reported sale price per common share exceeds 130% of the conversion price for a specified period of time and certain other conditions are satisfied. In addition, the notes will be redeemable, in whole and not in part, at Proficient’s option if (i) certain changes in tax law occur; or (ii) the principal amount of the notes outstanding is less than 10% of the aggregate principal amount of notes initially issued, in each case, subject to certain conditions. The redemption price will be equal to the principal amount of the notes to be redeemed, plus accrued and unpaid interest, if any, to, but excluding, the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“fundamental change” occurs, then, subject to a limited exception, Proficient will offer to repurchase the notes for cash. The repurchase price will be equal to the principal amount of the notes to be repurchased, plus accrued and unpaid interest, if any, to, but excluding, the applicable repurchase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Proficient estimates that the net proceeds from the offering will be approximately $71.4 million, after deducting Proficient’s estimated offering expenses. Proficient intends to use the net proceeds from the offering to refinance outstanding indebtedness and to pay the premiums with respect to the capped call transactions described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pricing of the notes, Proficient entered into privately negotiated capped call transactions with certain financial institutions (the “option counterparties”). The capped call transactions are expected generally to reduce potential dilution to Proficient’s common stock upon any conversion of the notes, and/or offset any potential cash payments Proficient is required to make in excess of the principal amount of such converted notes, as the case may be, with such reduction and/or offset subject to a cap based on the cap price. The cap price of the capped call transactions will initially be $8.93 per share, and is subject to certain adjustments under the terms of the capped call transactions. Unless terminated early or extended, the capped call transactions are expected to expire over a period of trading days beginning on May 18, 2033.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Proficient has been advised that, in connection with establishing its initial hedges of the capped call transactions, the option counterparties or their respective affiliates expect to purchase shares of Proficient common stock and/or enter into various derivative transactions with respect to Proficient’s common stock concurrently with, or shortly after, the pricing of the notes. This activity could increase (or reduce the size of any decrease in) the market price of Proficient’s common stock or the notes at that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option counterparties and/or their respective affiliates may modify their hedge positions by selling or purchasing Proficient’s common stock or other securities of Proficient in secondary market transactions and/or entering into or unwinding various derivatives with respect to Proficient’s common stock following the pricing of the notes and prior to the maturity of the notes (and are likely to do so (x) on each exercise date for the capped call transactions, which are expected to occur on each trading day during the 60 trading day period beginning on May 18, 2033 and (y) following any early conversion of the notes, any repurchase of the notes by Proficient on any fundamental change repurchase date, any redemption date or may do so on any other date on which the notes are repurchased by Proficient). This activity could also cause or avoid a decrease or increase in the market price of Proficient’s common stock or the notes, which could affect the ability of noteholders to convert the notes and, to the extent the activity occurs following conversion or during any observation period related to a conversion of the notes, it could affect the number of shares and/or value of the consideration that noteholders will receive upon conversion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and the common stock issuable upon conversion of the notes, if any, have not been and will not be registered under the Securities Act, or any state securities laws, and unless so registered, may not be offered or sold in the United States except pursuant to an applicable exemption from such registration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announcement is neither an offer to sell nor a solicitation of an offer to buy any of the notes or any shares of common stock potentially issuable upon conversion of the notes and shall not constitute an offer, solicitation or sale in any jurisdiction in which such offer, solicitation or sale is unlawful.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About Proficient Auto Logistics</w:t>
      </w:r>
      <w:r>
        <w:rPr>
          <w:rFonts w:ascii="Times New Roman;Times;Serif" w:hAnsi="Times New Roman;Times;Serif"/>
          <w:b w:val="false"/>
          <w:i w:val="false"/>
          <w:caps w:val="false"/>
          <w:smallCaps w:val="false"/>
          <w:sz w:val="20"/>
        </w:rPr>
        <w:t xml:space="preserve"> – Headquartered in Jacksonville, Florida, Proficient Auto Logistics (NASDAQ: PAL) is the leading specialized freight company focused on providing auto transportation and logistics services. Through the combination of nine industry-leading operating companies, including four since IPO debut May 2024, PAL operates the largest auto transportation fleet in North America, offering a broad range of services primarily focused on transporting finished vehicles from automotive production facilities, marine ports of entry, and regional rail yards to auto dealerships around North America. For more information, visit www.proficientautologistics.com.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Brad Wright</w:t>
        <w:br/>
        <w:t>Chief Financial Officer and Secretary</w:t>
        <w:br/>
        <w:t>Phone: 904-506-4317</w:t>
        <w:br/>
        <w:t>Email: Investor.relations@proautologistics.com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Statement Regarding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the Private Securities Litigation Reform Act of 1995, which statements involve substantial risks and uncertainties. Forward-looking statements generally relate to possible or assume future results of our business, financial condition, results of operations, liquidity, plans and objectives. You can generally identify forward-looking statements because they contain words such as “may,” “will,” “should,” “expects,” “plans,” “anticipates,” “could,” “intends,” “target,” “projects,” “contemplates,” “believes,” “estimates,” “predicts,” “potential” or “continue” or the negative of these terms or other similar expressions that concern our expectations, strategy, plans or intentions. We have based these forward-looking statements largely on our current expectations and projections regarding future events and trends that we believe may affect our business, financial condition and results of operations. The outcome of the events described in these forward-looking statements is subject to risks, uncertainties and other factors described in the section entitled “Risk Factors” in our Annual Report on Form 10-K filed with the Securities and Exchange Commission on March 31, 2026 (the “Annual Report”), and elsewhere in the Annual Report. Accordingly, you should not rely upon forward-looking statements as predictions of future events. We cannot assure you that the results, events and circumstances reflected in the forward-looking statements will be achieved or occur, and actual results, events or circumstances could differ materially from those projected in the forward-looking statements. Forward-looking statements contained in this press release include, but are not limited to, statements regarding: those related to the offering of the notes and the use of proceeds therefrom and the capped call transactions; the satisfaction of the conditions to the closing of the proposed transaction in a timely manner; expectations related to synergies, capacity, units moved, geographic footprint and combined company performance; costs related to, and the inability to recognize the anticipated benefits of the acquisition of H&amp;A; risks related to the business of H&amp;A and unexpected liabilities that may arise in connection with the integration of H&amp;A into our business, including our ability to apply our procedures regarding internal controls over financial reporting to H&amp;A; the risk that disruptions from the acquisition will harm our business, including current plans and operations; the diversion of management’s time and attention from ordinary course business operations to integration of H&amp;A; potential adverse reactions or changes to business relationships resulting from the acquisition of H&amp;A; the outcome of any legal proceedings that may be instituted against the Company in connection with our acquisition of H&amp;A; our expectations regarding our future performance, results of operations, and our ability to improve our leverage position and balance sheet; the economic conditions in the global markets in which we operate; expectations and impact related to fuel price volatility; our ability to successfully implement our business strategy, effectively respond to changes in market dynamics and customer preferences, and achieve the anticipated benefits and associated cost savings of such strategies and actions; our ability to recruit and retain qualified driving associates, independent contractors and third-party auto transportation and logistics companies; an increase in the frequency or severity of accidents or other claims; our expectations regarding the successful implementation of our acquisitions; geopolitical developments and additional changes in international trade policies and relations; the effect of any international conflicts or terrorist activities on the United States and global economies in general, the transportation industry, or us in particular, and what effects these events will have on our costs and the demand for our services; our ability to manage our network capacity and cost structure for capital expenditures and operating expenses, and match it to shifting and future customer volume levels; our ability to compete effectively against current and future competitors; our ability to maintain our profitability despite quarterly fluctuations in our results, whether due to seasonality, large cyclical events, or other causes; our ability to adapt to and address changes to the capacity environment, driver compensation and market pricing; our future financial and operating results; our expectations regarding the period during which we will qualify as an emerging growth company under the JOBS Act; and the sufficiency of our existing cash to fund our future operating expenses and capital expenditure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forward-looking statements made in this document relate only to events as of the date on which the statements are made. We undertake no obligation to update any forward-looking statement to reflect events or circumstances after the date on which the statement is made or to reflect the occurrence of unanticipated events. We may not actually achieve the plans, intentions or expectations disclosed in our forward-looking statements and you should not place undue reliance on our forward-looking statements. We do not assume any obligation to update any forward-looking statements, whether as a result of new information, future events or otherwise, except as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6" w:name="ea030190601ex99-2.htm"/>
      <w:bookmarkStart w:id="27" w:name="ksea030190601ex992"/>
      <w:bookmarkEnd w:id="26"/>
      <w:bookmarkEnd w:id="27"/>
      <w:r>
        <w:rPr>
          <w:rFonts w:ascii="Times New Roman;Times;Serif" w:hAnsi="Times New Roman;Times;Serif"/>
          <w:b/>
          <w:i w:val="false"/>
          <w:caps w:val="false"/>
          <w:smallCaps w:val="false"/>
          <w:sz w:val="20"/>
        </w:rPr>
        <w:t>Exhibit 99.2</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Proficient Auto Logistics Completes Acquisition of Hansen &amp; Adkins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JACKSONVILLE, FLORIDA – August 14, 2026 – Proficient Auto Logistics, Inc. (NASDAQ: PAL) (the “Company” or “Proficient”), a leading provider of auto transportation and logistics services, announced the completion of its previously announced transaction to acquire Hansen &amp; Adkins (“H&amp;A”) as of August 13</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consistent with the timing and transaction terms disclosed in the Company's prior announcements.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We are encouraged by the enthusiasm and response to the acquisition in our interactions with Hansen &amp; Adkins’ leaders and employees, our broader employee and driver population, customers, and investors,” shared Amy Rice, Proficient’s President and Chief Operating Officer. “We now turn our attention to realizing early opportunities for efficiency in the operation and combined shop footprint to enhance service and capacity for customers, bringing our teams together, and partnering through integration milestones over the next six months to capture the transformational potential in this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combined enterprise is now the largest auto hauler in the North American market, with a robust portfolio across automotive OEMs, transporting roughly one quarter of the addressable new vehicle transportation market. On a go-forward basis, Proficient expects to move more than four million vehicles annually and with a larger company-owned fleet of assets and safe, high-quality drivers, the Company expects its segment mix of company deliveries, when compared to subhauler deliveries, to be closer to half of the portfolio. Additional density in the network footprint will allow for enhanced capacity, improved utilization and reduction of empty miles, as well as scale benefits in supporting infrastructure and resources. At a time in the industry when auto haul capacity has compressed due to regulatory and economic factors, this combination augments the Company’s core capabilities and value proposition.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Integration of the acquisition is expected to be complete in early 2027, though the Hansen &amp; Adkins name and brand will remain in place as the largest operating company under the Proficient umbrella, continuing to operate as Hansen &amp; Adkins in the United States and as MCL McGill in Canada. Founders Steve Hansen and Louie Adkins will remain as advisors through year-end to support the transition.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About Proficient Auto Logistics</w:t>
      </w:r>
      <w:r>
        <w:rPr>
          <w:rFonts w:ascii="Times New Roman;Times;Serif" w:hAnsi="Times New Roman;Times;Serif"/>
          <w:b w:val="false"/>
          <w:i w:val="false"/>
          <w:caps w:val="false"/>
          <w:smallCaps w:val="false"/>
          <w:sz w:val="20"/>
        </w:rPr>
        <w:t xml:space="preserve"> – Headquartered in Jacksonville, Florida, Proficient Auto Logistics (NASDAQ: PAL) is the leading specialized freight company focused on providing auto transportation and logistics services. Through the combination of nine industry-leading operating companies, including four since IPO debut May 2024, PAL operates the largest auto transportation fleet in North America, offering a broad range of services primarily focused on transporting finished vehicles from automotive production facilities, marine ports of entry, and regional rail yards to auto dealerships around North America. For more information, visit www.proficientautologistics.com.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Investor Relations:</w:t>
      </w:r>
      <w:r>
        <w:rPr>
          <w:rFonts w:ascii="Times New Roman;Times;Serif" w:hAnsi="Times New Roman;Times;Serif"/>
          <w:b w:val="false"/>
          <w:i w:val="false"/>
          <w:caps w:val="false"/>
          <w:smallCaps w:val="false"/>
          <w:sz w:val="20"/>
        </w:rPr>
        <w:br/>
        <w:t>Brad Wright</w:t>
        <w:br/>
        <w:t>Chief Financial Officer and Secretary</w:t>
        <w:br/>
        <w:t>Phone: 904-506-4317</w:t>
        <w:br/>
        <w:t>Email: Investor.relations@proautologistics.com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Statement Regarding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the Private Securities Litigation Reform Act of 1995, which statements involve substantial risks and uncertainties. Forward-looking statements generally relate to possible or assume future results of our business, financial condition, results of operations, liquidity, plans and objectives. You can generally identify forward-looking statements because they contain words such as “may,” “will,” “should,” “expects,” “plans,” “anticipates,” “could,” “intends,” “target,” “projects,” “contemplates,” “believes,” “estimates,” “predicts,” “potential” or “continue” or the negative of these terms or other similar expressions that concern our expectations, strategy, plans or intentions. We have based these forward-looking statements largely on our current expectations and projections regarding future events and trends that we believe may affect our business, financial condition and results of operations. The outcome of the events described in these forward-looking statements is subject to risks, uncertainties and other factors described in the section entitled “Risk Factors” in our Annual Report on Form 10-K filed with the Securities and Exchange Commission on March 31, 2026 (the “Annual Report”), and elsewhere in the Annual Report. Accordingly, you should not rely upon forward-looking statements as predictions of future events. We cannot assure you that the results, events and circumstances reflected in the forward-looking statements will be achieved or occur, and actual results, events or circumstances could differ materially from those projected in the forward-looking statements. The risks, uncertainties, and other factors, which are described in more detail in the documents we file with the Securities and Exchange Commission, include but are not limited to: those related to the offering of the notes and the use of proceeds therefrom and the capped call transactions; expectations related to synergies, capacity, units moved, geographic footprint and combined company performance; costs related to, and the inability to recognize the anticipated benefits of the acquisition of H&amp;A; risks related to the business of H&amp;A and unexpected liabilities that may arise in connection with the integration of H&amp;A into our business, including our ability to apply our procedures regarding internal controls over financial reporting to H&amp;A; the risk that disruptions from the acquisition will harm our business, including current plans and operations; the diversion of management’s time and attention from ordinary course business operations to integration of H&amp;A; potential adverse reactions or changes to business relationships resulting from the acquisition of H&amp;A; the outcome of any legal proceedings that may be instituted against the Company in connection with our acquisition of H&amp;A; our expectations regarding our future performance, results of operations, and our ability to improve our leverage position and balance sheet; the economic conditions in the global markets in which we operate; expectations and impact related to fuel price volatility; our ability to successfully implement our business strategy, effectively respond to changes in market dynamics and customer preferences, and achieve the anticipated benefits and associated cost savings of such strategies and actions; our ability to recruit and retain qualified driving associates, independent contractors and third-party auto transportation and logistics companies; an increase in the frequency or severity of accidents or other claims; our expectations regarding the successful implementation of our acquisitions; geopolitical developments and additional changes in international trade policies and relations; the effect of any international conflicts or terrorist activities on the United States and global economies in general, the transportation industry, or us in particular, and what effects these events will have on our costs and the demand for our services; our ability to manage our network capacity and cost structure for capital expenditures and operating expenses, and match it to shifting and future customer volume levels; our ability to compete effectively against current and future competitors; our ability to maintain our profitability despite quarterly fluctuations in our results, whether due to seasonality, large cyclical events, or other causes; our ability to adapt to and address changes to the capacity environment, driver compensation and market pricing; our future financial and operating results; our expectations regarding the period during which we will qualify as an emerging growth company under the JOBS Act; and the sufficiency of our existing cash to fund our future operating expenses and capital expenditure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forward-looking statements made in this document relate only to events as of the date on which the statements are made. We undertake no obligation to update any forward-looking statement to reflect events or circumstances after the date on which the statement is made or to reflect the occurrence of unanticipated events. We may not actually achieve the plans, intentions or expectations disclosed in our forward-looking statements and you should not place undue reliance on our forward-looking statements. We do not assume any obligation to update any forward-looking statements, whether as a result of new information, future events or otherwise, except as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5942</Words>
  <Characters>32870</Characters>
  <CharactersWithSpaces>38840</CharactersWithSpaces>
  <Paragraphs>264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