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190-10q_proficient.htm"/>
      <w:bookmarkStart w:id="1" w:name="ksea030119010q_proficien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TRANSITION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001-42035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PROFICIENT AUTO LOGISTICS,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93-1869180</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12276 San Jose Blvd.</w:t>
              <w:br/>
              <w:t>Suite 426</w:t>
              <w:br/>
              <w:t>Jacksonville, Florida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32223</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(904) 506-7918</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60"/>
        <w:gridCol w:w="60"/>
        <w:gridCol w:w="1883"/>
        <w:gridCol w:w="60"/>
        <w:gridCol w:w="4342"/>
      </w:tblGrid>
      <w:tr>
        <w:trPr/>
        <w:tc>
          <w:tcPr>
            <w:tcW w:w="386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83"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34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860" w:type="dxa"/>
            <w:tcBorders/>
            <w:shd w:fill="CCEEFF" w:val="clear"/>
            <w:tcMar>
              <w:bottom w:w="0" w:type="dxa"/>
            </w:tcMar>
            <w:vAlign w:val="center"/>
          </w:tcPr>
          <w:p>
            <w:pPr>
              <w:pStyle w:val="TableContents"/>
              <w:bidi w:val="0"/>
              <w:spacing w:before="0" w:after="283"/>
              <w:jc w:val="center"/>
              <w:rPr/>
            </w:pPr>
            <w:r>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83" w:type="dxa"/>
            <w:tcBorders/>
            <w:shd w:fill="CCEEFF" w:val="clear"/>
            <w:tcMar>
              <w:bottom w:w="0" w:type="dxa"/>
            </w:tcMar>
            <w:vAlign w:val="center"/>
          </w:tcPr>
          <w:p>
            <w:pPr>
              <w:pStyle w:val="TableContents"/>
              <w:bidi w:val="0"/>
              <w:spacing w:before="0" w:after="283"/>
              <w:jc w:val="center"/>
              <w:rPr/>
            </w:pPr>
            <w:r>
              <w:rPr/>
              <w:t>PAL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42"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2390"/>
        <w:gridCol w:w="60"/>
        <w:gridCol w:w="60"/>
        <w:gridCol w:w="2900"/>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Large accelerated filer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Accelerated filer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Non-accelerated filer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Smaller reporting company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 had 28,052,923 shares of common stock outstanding at August 10,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21"/>
        <w:gridCol w:w="484"/>
      </w:tblGrid>
      <w:tr>
        <w:trPr/>
        <w:tc>
          <w:tcPr>
            <w:tcW w:w="9721" w:type="dxa"/>
            <w:tcBorders/>
            <w:vAlign w:val="center"/>
          </w:tcPr>
          <w:p>
            <w:pPr>
              <w:pStyle w:val="TableContents"/>
              <w:bidi w:val="0"/>
              <w:spacing w:before="0" w:after="283"/>
              <w:ind w:left="0" w:right="0" w:hanging="180"/>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721" w:type="dxa"/>
            <w:tcBorders/>
            <w:shd w:fill="CCEEFF" w:val="clear"/>
            <w:vAlign w:val="center"/>
          </w:tcPr>
          <w:p>
            <w:pPr>
              <w:pStyle w:val="TableContents"/>
              <w:bidi w:val="0"/>
              <w:spacing w:before="0" w:after="283"/>
              <w:jc w:val="left"/>
              <w:rPr>
                <w:b/>
              </w:rPr>
            </w:pPr>
            <w:r>
              <w:rPr>
                <w:b/>
              </w:rPr>
              <w:t>PART I - FINANCIAL INFORMATION:</w:t>
            </w:r>
          </w:p>
        </w:tc>
        <w:tc>
          <w:tcPr>
            <w:tcW w:w="484" w:type="dxa"/>
            <w:tcBorders/>
            <w:shd w:fill="CCEEFF" w:val="clear"/>
            <w:vAlign w:val="center"/>
          </w:tcPr>
          <w:p>
            <w:pPr>
              <w:pStyle w:val="TableContents"/>
              <w:bidi w:val="0"/>
              <w:spacing w:before="0" w:after="283"/>
              <w:ind w:left="0" w:right="0" w:hanging="180"/>
              <w:jc w:val="center"/>
              <w:rPr/>
            </w:pPr>
            <w:r>
              <w:rPr/>
              <w:t> </w:t>
            </w:r>
          </w:p>
        </w:tc>
      </w:tr>
      <w:tr>
        <w:trPr/>
        <w:tc>
          <w:tcPr>
            <w:tcW w:w="9721" w:type="dxa"/>
            <w:tcBorders/>
            <w:shd w:fill="FFFFFF" w:val="clear"/>
            <w:vAlign w:val="center"/>
          </w:tcPr>
          <w:p>
            <w:pPr>
              <w:pStyle w:val="TableContents"/>
              <w:bidi w:val="0"/>
              <w:spacing w:before="0" w:after="283"/>
              <w:jc w:val="left"/>
              <w:rPr>
                <w:b/>
              </w:rPr>
            </w:pPr>
            <w:r>
              <w:rPr>
                <w:b/>
              </w:rPr>
              <w:t>Item 1. Condensed Consolidated Financial Statements (Unaudited):</w:t>
            </w:r>
          </w:p>
        </w:tc>
        <w:tc>
          <w:tcPr>
            <w:tcW w:w="484" w:type="dxa"/>
            <w:tcBorders/>
            <w:shd w:fill="FFFFFF" w:val="clear"/>
            <w:vAlign w:val="center"/>
          </w:tcPr>
          <w:p>
            <w:pPr>
              <w:pStyle w:val="TableContents"/>
              <w:bidi w:val="0"/>
              <w:spacing w:before="0" w:after="283"/>
              <w:ind w:left="0" w:right="0" w:hanging="180"/>
              <w:jc w:val="center"/>
              <w:rPr/>
            </w:pPr>
            <w:r>
              <w:rPr/>
              <w:t> </w:t>
            </w:r>
          </w:p>
        </w:tc>
      </w:tr>
      <w:tr>
        <w:trPr/>
        <w:tc>
          <w:tcPr>
            <w:tcW w:w="97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center"/>
              <w:rPr/>
            </w:pPr>
            <w:r>
              <w:rPr/>
              <w:t> </w:t>
            </w:r>
          </w:p>
        </w:tc>
      </w:tr>
      <w:tr>
        <w:trPr/>
        <w:tc>
          <w:tcPr>
            <w:tcW w:w="9721" w:type="dxa"/>
            <w:tcBorders/>
            <w:shd w:fill="FFFFFF" w:val="clear"/>
            <w:vAlign w:val="center"/>
          </w:tcPr>
          <w:p>
            <w:pPr>
              <w:pStyle w:val="TableContents"/>
              <w:bidi w:val="0"/>
              <w:spacing w:before="0" w:after="283"/>
              <w:jc w:val="center"/>
              <w:rPr>
                <w:b/>
              </w:rPr>
            </w:pPr>
            <w:r>
              <w:rPr>
                <w:b/>
              </w:rPr>
              <w:t>Proficient Auto Logistics, Inc. and Subsidiaries</w:t>
            </w:r>
          </w:p>
        </w:tc>
        <w:tc>
          <w:tcPr>
            <w:tcW w:w="484" w:type="dxa"/>
            <w:tcBorders/>
            <w:shd w:fill="FFFFFF" w:val="clear"/>
            <w:vAlign w:val="center"/>
          </w:tcPr>
          <w:p>
            <w:pPr>
              <w:pStyle w:val="TableContents"/>
              <w:bidi w:val="0"/>
              <w:spacing w:before="0" w:after="283"/>
              <w:ind w:left="0" w:right="0" w:hanging="180"/>
              <w:jc w:val="left"/>
              <w:rPr/>
            </w:pPr>
            <w:r>
              <w:rPr/>
              <w:t> </w:t>
            </w:r>
          </w:p>
        </w:tc>
      </w:tr>
      <w:tr>
        <w:trPr/>
        <w:tc>
          <w:tcPr>
            <w:tcW w:w="9721" w:type="dxa"/>
            <w:tcBorders/>
            <w:shd w:fill="CCEEFF" w:val="clear"/>
            <w:vAlign w:val="center"/>
          </w:tcPr>
          <w:p>
            <w:pPr>
              <w:pStyle w:val="TableContents"/>
              <w:bidi w:val="0"/>
              <w:spacing w:before="0" w:after="283"/>
              <w:jc w:val="left"/>
              <w:rPr/>
            </w:pPr>
            <w:hyperlink w:anchor="a_001">
              <w:r>
                <w:rPr>
                  <w:rStyle w:val="InternetLink"/>
                </w:rPr>
                <w:t>Condensed Consolidated Balance Sheets as of June 30, 2026 (unaudited) and December 31, 2025</w:t>
              </w:r>
            </w:hyperlink>
          </w:p>
        </w:tc>
        <w:tc>
          <w:tcPr>
            <w:tcW w:w="484" w:type="dxa"/>
            <w:tcBorders/>
            <w:shd w:fill="CCEEFF" w:val="clear"/>
            <w:vAlign w:val="center"/>
          </w:tcPr>
          <w:p>
            <w:pPr>
              <w:pStyle w:val="TableContents"/>
              <w:bidi w:val="0"/>
              <w:spacing w:before="0" w:after="283"/>
              <w:ind w:left="0" w:right="0" w:hanging="180"/>
              <w:jc w:val="center"/>
              <w:rPr/>
            </w:pPr>
            <w:r>
              <w:rPr/>
              <w:t>1</w:t>
            </w:r>
          </w:p>
        </w:tc>
      </w:tr>
      <w:tr>
        <w:trPr/>
        <w:tc>
          <w:tcPr>
            <w:tcW w:w="9721" w:type="dxa"/>
            <w:tcBorders/>
            <w:shd w:fill="FFFFFF" w:val="clear"/>
            <w:vAlign w:val="center"/>
          </w:tcPr>
          <w:p>
            <w:pPr>
              <w:pStyle w:val="TableContents"/>
              <w:bidi w:val="0"/>
              <w:spacing w:before="0" w:after="283"/>
              <w:jc w:val="both"/>
              <w:rPr/>
            </w:pPr>
            <w:hyperlink w:anchor="a_002">
              <w:r>
                <w:rPr>
                  <w:rStyle w:val="InternetLink"/>
                </w:rPr>
                <w:t>Condensed Consolidated Statement of Operations for the six and three months ended June 30, 2026 and 2025 (unaudited)</w:t>
              </w:r>
            </w:hyperlink>
          </w:p>
        </w:tc>
        <w:tc>
          <w:tcPr>
            <w:tcW w:w="484" w:type="dxa"/>
            <w:tcBorders/>
            <w:shd w:fill="FFFFFF" w:val="clear"/>
            <w:vAlign w:val="center"/>
          </w:tcPr>
          <w:p>
            <w:pPr>
              <w:pStyle w:val="TableContents"/>
              <w:bidi w:val="0"/>
              <w:spacing w:before="0" w:after="283"/>
              <w:ind w:left="0" w:right="0" w:hanging="180"/>
              <w:jc w:val="center"/>
              <w:rPr/>
            </w:pPr>
            <w:r>
              <w:rPr/>
              <w:t>2</w:t>
            </w:r>
          </w:p>
        </w:tc>
      </w:tr>
      <w:tr>
        <w:trPr/>
        <w:tc>
          <w:tcPr>
            <w:tcW w:w="9721" w:type="dxa"/>
            <w:tcBorders/>
            <w:shd w:fill="CCEEFF" w:val="clear"/>
            <w:vAlign w:val="center"/>
          </w:tcPr>
          <w:p>
            <w:pPr>
              <w:pStyle w:val="TableContents"/>
              <w:bidi w:val="0"/>
              <w:spacing w:before="0" w:after="283"/>
              <w:jc w:val="both"/>
              <w:rPr/>
            </w:pPr>
            <w:hyperlink w:anchor="a_003">
              <w:r>
                <w:rPr>
                  <w:rStyle w:val="InternetLink"/>
                </w:rPr>
                <w:t>Condensed Consolidated Statement of Stockholders’ Equity for the six and three months ended June 30, 2026 and 2025 (unaudited)</w:t>
              </w:r>
            </w:hyperlink>
          </w:p>
        </w:tc>
        <w:tc>
          <w:tcPr>
            <w:tcW w:w="484" w:type="dxa"/>
            <w:tcBorders/>
            <w:shd w:fill="CCEEFF" w:val="clear"/>
            <w:vAlign w:val="center"/>
          </w:tcPr>
          <w:p>
            <w:pPr>
              <w:pStyle w:val="TableContents"/>
              <w:bidi w:val="0"/>
              <w:spacing w:before="0" w:after="283"/>
              <w:ind w:left="0" w:right="0" w:hanging="180"/>
              <w:jc w:val="center"/>
              <w:rPr/>
            </w:pPr>
            <w:r>
              <w:rPr/>
              <w:t>3</w:t>
            </w:r>
          </w:p>
        </w:tc>
      </w:tr>
      <w:tr>
        <w:trPr/>
        <w:tc>
          <w:tcPr>
            <w:tcW w:w="9721" w:type="dxa"/>
            <w:tcBorders/>
            <w:shd w:fill="FFFFFF" w:val="clear"/>
            <w:vAlign w:val="center"/>
          </w:tcPr>
          <w:p>
            <w:pPr>
              <w:pStyle w:val="TableContents"/>
              <w:bidi w:val="0"/>
              <w:spacing w:before="0" w:after="283"/>
              <w:jc w:val="both"/>
              <w:rPr/>
            </w:pPr>
            <w:hyperlink w:anchor="a_004">
              <w:r>
                <w:rPr>
                  <w:rStyle w:val="InternetLink"/>
                </w:rPr>
                <w:t>Condensed Consolidated Statement of Cash Flows for the six and three months ended June 30, 2026 and 2025 (unaudited)</w:t>
              </w:r>
            </w:hyperlink>
          </w:p>
        </w:tc>
        <w:tc>
          <w:tcPr>
            <w:tcW w:w="484" w:type="dxa"/>
            <w:tcBorders/>
            <w:shd w:fill="FFFFFF" w:val="clear"/>
            <w:vAlign w:val="center"/>
          </w:tcPr>
          <w:p>
            <w:pPr>
              <w:pStyle w:val="TableContents"/>
              <w:bidi w:val="0"/>
              <w:spacing w:before="0" w:after="283"/>
              <w:ind w:left="0" w:right="0" w:hanging="180"/>
              <w:jc w:val="center"/>
              <w:rPr/>
            </w:pPr>
            <w:r>
              <w:rPr/>
              <w:t>4</w:t>
            </w:r>
          </w:p>
        </w:tc>
      </w:tr>
      <w:tr>
        <w:trPr/>
        <w:tc>
          <w:tcPr>
            <w:tcW w:w="9721" w:type="dxa"/>
            <w:tcBorders/>
            <w:shd w:fill="CCEEFF" w:val="clear"/>
            <w:vAlign w:val="center"/>
          </w:tcPr>
          <w:p>
            <w:pPr>
              <w:pStyle w:val="TableContents"/>
              <w:bidi w:val="0"/>
              <w:spacing w:before="0" w:after="283"/>
              <w:jc w:val="left"/>
              <w:rPr/>
            </w:pPr>
            <w:hyperlink w:anchor="a_005">
              <w:r>
                <w:rPr>
                  <w:rStyle w:val="InternetLink"/>
                </w:rPr>
                <w:t>Notes to Condensed Consolidated Financial Statements (unaudited)</w:t>
              </w:r>
            </w:hyperlink>
          </w:p>
        </w:tc>
        <w:tc>
          <w:tcPr>
            <w:tcW w:w="484" w:type="dxa"/>
            <w:tcBorders/>
            <w:shd w:fill="CCEEFF" w:val="clear"/>
            <w:vAlign w:val="center"/>
          </w:tcPr>
          <w:p>
            <w:pPr>
              <w:pStyle w:val="TableContents"/>
              <w:bidi w:val="0"/>
              <w:spacing w:before="0" w:after="283"/>
              <w:ind w:left="0" w:right="0" w:hanging="180"/>
              <w:jc w:val="center"/>
              <w:rPr/>
            </w:pPr>
            <w:r>
              <w:rPr/>
              <w:t>5</w:t>
            </w:r>
          </w:p>
        </w:tc>
      </w:tr>
      <w:tr>
        <w:trPr/>
        <w:tc>
          <w:tcPr>
            <w:tcW w:w="97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180"/>
              <w:jc w:val="center"/>
              <w:rPr/>
            </w:pPr>
            <w:r>
              <w:rPr/>
              <w:t> </w:t>
            </w:r>
          </w:p>
        </w:tc>
      </w:tr>
      <w:tr>
        <w:trPr/>
        <w:tc>
          <w:tcPr>
            <w:tcW w:w="9721" w:type="dxa"/>
            <w:tcBorders/>
            <w:shd w:fill="CCEEFF" w:val="clear"/>
            <w:vAlign w:val="center"/>
          </w:tcPr>
          <w:p>
            <w:pPr>
              <w:pStyle w:val="TableContents"/>
              <w:bidi w:val="0"/>
              <w:spacing w:before="0" w:after="283"/>
              <w:jc w:val="left"/>
              <w:rPr/>
            </w:pPr>
            <w:hyperlink w:anchor="a_006">
              <w:r>
                <w:rPr>
                  <w:rStyle w:val="InternetLink"/>
                  <w:b/>
                </w:rPr>
                <w:t>Item 2. Management’s Discussion and Analysis of Results of Operations and Financial Condition</w:t>
              </w:r>
            </w:hyperlink>
          </w:p>
        </w:tc>
        <w:tc>
          <w:tcPr>
            <w:tcW w:w="484" w:type="dxa"/>
            <w:tcBorders/>
            <w:shd w:fill="CCEEFF" w:val="clear"/>
            <w:vAlign w:val="center"/>
          </w:tcPr>
          <w:p>
            <w:pPr>
              <w:pStyle w:val="TableContents"/>
              <w:bidi w:val="0"/>
              <w:spacing w:before="0" w:after="283"/>
              <w:ind w:left="0" w:right="0" w:hanging="180"/>
              <w:jc w:val="center"/>
              <w:rPr/>
            </w:pPr>
            <w:r>
              <w:rPr/>
              <w:t>24</w:t>
            </w:r>
          </w:p>
        </w:tc>
      </w:tr>
      <w:tr>
        <w:trPr/>
        <w:tc>
          <w:tcPr>
            <w:tcW w:w="9721" w:type="dxa"/>
            <w:tcBorders/>
            <w:shd w:fill="FFFFFF" w:val="clear"/>
            <w:vAlign w:val="center"/>
          </w:tcPr>
          <w:p>
            <w:pPr>
              <w:pStyle w:val="TableContents"/>
              <w:bidi w:val="0"/>
              <w:spacing w:before="0" w:after="283"/>
              <w:jc w:val="left"/>
              <w:rPr/>
            </w:pPr>
            <w:hyperlink w:anchor="a_007">
              <w:r>
                <w:rPr>
                  <w:rStyle w:val="InternetLink"/>
                  <w:b/>
                </w:rPr>
                <w:t>Item 3. Quantitative and Qualitative Disclosures About Market Risk</w:t>
              </w:r>
            </w:hyperlink>
          </w:p>
        </w:tc>
        <w:tc>
          <w:tcPr>
            <w:tcW w:w="484" w:type="dxa"/>
            <w:tcBorders/>
            <w:shd w:fill="FFFFFF" w:val="clear"/>
            <w:vAlign w:val="center"/>
          </w:tcPr>
          <w:p>
            <w:pPr>
              <w:pStyle w:val="TableContents"/>
              <w:bidi w:val="0"/>
              <w:spacing w:before="0" w:after="283"/>
              <w:ind w:left="0" w:right="0" w:hanging="180"/>
              <w:jc w:val="center"/>
              <w:rPr/>
            </w:pPr>
            <w:r>
              <w:rPr/>
              <w:t>39</w:t>
            </w:r>
          </w:p>
        </w:tc>
      </w:tr>
      <w:tr>
        <w:trPr/>
        <w:tc>
          <w:tcPr>
            <w:tcW w:w="9721" w:type="dxa"/>
            <w:tcBorders/>
            <w:shd w:fill="CCEEFF" w:val="clear"/>
            <w:vAlign w:val="center"/>
          </w:tcPr>
          <w:p>
            <w:pPr>
              <w:pStyle w:val="TableContents"/>
              <w:bidi w:val="0"/>
              <w:spacing w:before="0" w:after="283"/>
              <w:jc w:val="left"/>
              <w:rPr/>
            </w:pPr>
            <w:hyperlink w:anchor="a_008">
              <w:r>
                <w:rPr>
                  <w:rStyle w:val="InternetLink"/>
                  <w:b/>
                </w:rPr>
                <w:t>Item 4. Controls and Procedures</w:t>
              </w:r>
            </w:hyperlink>
          </w:p>
        </w:tc>
        <w:tc>
          <w:tcPr>
            <w:tcW w:w="484" w:type="dxa"/>
            <w:tcBorders/>
            <w:shd w:fill="CCEEFF" w:val="clear"/>
            <w:vAlign w:val="center"/>
          </w:tcPr>
          <w:p>
            <w:pPr>
              <w:pStyle w:val="TableContents"/>
              <w:bidi w:val="0"/>
              <w:spacing w:before="0" w:after="283"/>
              <w:ind w:left="0" w:right="0" w:hanging="180"/>
              <w:jc w:val="center"/>
              <w:rPr/>
            </w:pPr>
            <w:r>
              <w:rPr/>
              <w:t>40</w:t>
            </w:r>
          </w:p>
        </w:tc>
      </w:tr>
      <w:tr>
        <w:trPr/>
        <w:tc>
          <w:tcPr>
            <w:tcW w:w="97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180"/>
              <w:jc w:val="center"/>
              <w:rPr/>
            </w:pPr>
            <w:r>
              <w:rPr/>
              <w:t> </w:t>
            </w:r>
          </w:p>
        </w:tc>
      </w:tr>
      <w:tr>
        <w:trPr/>
        <w:tc>
          <w:tcPr>
            <w:tcW w:w="9721" w:type="dxa"/>
            <w:tcBorders/>
            <w:shd w:fill="CCEEFF" w:val="clear"/>
            <w:vAlign w:val="center"/>
          </w:tcPr>
          <w:p>
            <w:pPr>
              <w:pStyle w:val="TableContents"/>
              <w:bidi w:val="0"/>
              <w:spacing w:before="0" w:after="283"/>
              <w:jc w:val="left"/>
              <w:rPr/>
            </w:pPr>
            <w:hyperlink w:anchor="a_009">
              <w:r>
                <w:rPr>
                  <w:rStyle w:val="InternetLink"/>
                  <w:b/>
                </w:rPr>
                <w:t>PART II - OTHER INFORMATION:</w:t>
              </w:r>
            </w:hyperlink>
          </w:p>
        </w:tc>
        <w:tc>
          <w:tcPr>
            <w:tcW w:w="484" w:type="dxa"/>
            <w:tcBorders/>
            <w:shd w:fill="CCEEFF" w:val="clear"/>
            <w:vAlign w:val="center"/>
          </w:tcPr>
          <w:p>
            <w:pPr>
              <w:pStyle w:val="TableContents"/>
              <w:bidi w:val="0"/>
              <w:spacing w:before="0" w:after="283"/>
              <w:ind w:left="0" w:right="0" w:hanging="180"/>
              <w:jc w:val="center"/>
              <w:rPr/>
            </w:pPr>
            <w:r>
              <w:rPr/>
              <w:t>41</w:t>
            </w:r>
          </w:p>
        </w:tc>
      </w:tr>
      <w:tr>
        <w:trPr/>
        <w:tc>
          <w:tcPr>
            <w:tcW w:w="9721" w:type="dxa"/>
            <w:tcBorders/>
            <w:shd w:fill="FFFFFF" w:val="clear"/>
            <w:vAlign w:val="center"/>
          </w:tcPr>
          <w:p>
            <w:pPr>
              <w:pStyle w:val="TableContents"/>
              <w:bidi w:val="0"/>
              <w:spacing w:before="0" w:after="283"/>
              <w:jc w:val="left"/>
              <w:rPr/>
            </w:pPr>
            <w:hyperlink w:anchor="a_010">
              <w:r>
                <w:rPr>
                  <w:rStyle w:val="InternetLink"/>
                  <w:b/>
                </w:rPr>
                <w:t>Item 1. Legal Proceedings</w:t>
              </w:r>
            </w:hyperlink>
          </w:p>
        </w:tc>
        <w:tc>
          <w:tcPr>
            <w:tcW w:w="484" w:type="dxa"/>
            <w:tcBorders/>
            <w:shd w:fill="FFFFFF" w:val="clear"/>
            <w:vAlign w:val="center"/>
          </w:tcPr>
          <w:p>
            <w:pPr>
              <w:pStyle w:val="TableContents"/>
              <w:bidi w:val="0"/>
              <w:spacing w:before="0" w:after="283"/>
              <w:ind w:left="0" w:right="0" w:hanging="180"/>
              <w:jc w:val="center"/>
              <w:rPr/>
            </w:pPr>
            <w:r>
              <w:rPr/>
              <w:t>41</w:t>
            </w:r>
          </w:p>
        </w:tc>
      </w:tr>
      <w:tr>
        <w:trPr/>
        <w:tc>
          <w:tcPr>
            <w:tcW w:w="9721" w:type="dxa"/>
            <w:tcBorders/>
            <w:shd w:fill="CCEEFF" w:val="clear"/>
            <w:vAlign w:val="center"/>
          </w:tcPr>
          <w:p>
            <w:pPr>
              <w:pStyle w:val="TableContents"/>
              <w:bidi w:val="0"/>
              <w:spacing w:before="0" w:after="283"/>
              <w:jc w:val="left"/>
              <w:rPr/>
            </w:pPr>
            <w:hyperlink w:anchor="a_011">
              <w:r>
                <w:rPr>
                  <w:rStyle w:val="InternetLink"/>
                  <w:b/>
                </w:rPr>
                <w:t>Item 1A. Risk Factors</w:t>
              </w:r>
            </w:hyperlink>
          </w:p>
        </w:tc>
        <w:tc>
          <w:tcPr>
            <w:tcW w:w="484" w:type="dxa"/>
            <w:tcBorders/>
            <w:shd w:fill="CCEEFF" w:val="clear"/>
            <w:vAlign w:val="center"/>
          </w:tcPr>
          <w:p>
            <w:pPr>
              <w:pStyle w:val="TableContents"/>
              <w:bidi w:val="0"/>
              <w:spacing w:before="0" w:after="283"/>
              <w:ind w:left="0" w:right="0" w:hanging="180"/>
              <w:jc w:val="center"/>
              <w:rPr/>
            </w:pPr>
            <w:r>
              <w:rPr/>
              <w:t>41</w:t>
            </w:r>
          </w:p>
        </w:tc>
      </w:tr>
      <w:tr>
        <w:trPr/>
        <w:tc>
          <w:tcPr>
            <w:tcW w:w="9721" w:type="dxa"/>
            <w:tcBorders/>
            <w:shd w:fill="FFFFFF" w:val="clear"/>
            <w:vAlign w:val="center"/>
          </w:tcPr>
          <w:p>
            <w:pPr>
              <w:pStyle w:val="TableContents"/>
              <w:bidi w:val="0"/>
              <w:spacing w:before="0" w:after="283"/>
              <w:jc w:val="left"/>
              <w:rPr/>
            </w:pPr>
            <w:hyperlink w:anchor="a_012">
              <w:r>
                <w:rPr>
                  <w:rStyle w:val="InternetLink"/>
                  <w:b/>
                </w:rPr>
                <w:t>Item 2. Unregistered Sales of Equity Securities and Use of Proceeds and Issuer Repurchases of Equity Securities</w:t>
              </w:r>
            </w:hyperlink>
          </w:p>
        </w:tc>
        <w:tc>
          <w:tcPr>
            <w:tcW w:w="484" w:type="dxa"/>
            <w:tcBorders/>
            <w:shd w:fill="FFFFFF" w:val="clear"/>
            <w:vAlign w:val="center"/>
          </w:tcPr>
          <w:p>
            <w:pPr>
              <w:pStyle w:val="TableContents"/>
              <w:bidi w:val="0"/>
              <w:spacing w:before="0" w:after="283"/>
              <w:ind w:left="0" w:right="0" w:hanging="180"/>
              <w:jc w:val="center"/>
              <w:rPr/>
            </w:pPr>
            <w:r>
              <w:rPr/>
              <w:t>42</w:t>
            </w:r>
          </w:p>
        </w:tc>
      </w:tr>
      <w:tr>
        <w:trPr/>
        <w:tc>
          <w:tcPr>
            <w:tcW w:w="9721" w:type="dxa"/>
            <w:tcBorders/>
            <w:shd w:fill="CCEEFF" w:val="clear"/>
            <w:vAlign w:val="center"/>
          </w:tcPr>
          <w:p>
            <w:pPr>
              <w:pStyle w:val="TableContents"/>
              <w:bidi w:val="0"/>
              <w:spacing w:before="0" w:after="283"/>
              <w:jc w:val="left"/>
              <w:rPr/>
            </w:pPr>
            <w:hyperlink w:anchor="a_013">
              <w:r>
                <w:rPr>
                  <w:rStyle w:val="InternetLink"/>
                  <w:b/>
                </w:rPr>
                <w:t>Item 3. Defaults Upon Senior Securities</w:t>
              </w:r>
            </w:hyperlink>
          </w:p>
        </w:tc>
        <w:tc>
          <w:tcPr>
            <w:tcW w:w="484" w:type="dxa"/>
            <w:tcBorders/>
            <w:shd w:fill="CCEEFF" w:val="clear"/>
            <w:vAlign w:val="center"/>
          </w:tcPr>
          <w:p>
            <w:pPr>
              <w:pStyle w:val="TableContents"/>
              <w:bidi w:val="0"/>
              <w:spacing w:before="0" w:after="283"/>
              <w:ind w:left="0" w:right="0" w:hanging="180"/>
              <w:jc w:val="center"/>
              <w:rPr/>
            </w:pPr>
            <w:r>
              <w:rPr/>
              <w:t>42</w:t>
            </w:r>
          </w:p>
        </w:tc>
      </w:tr>
      <w:tr>
        <w:trPr/>
        <w:tc>
          <w:tcPr>
            <w:tcW w:w="9721" w:type="dxa"/>
            <w:tcBorders/>
            <w:shd w:fill="FFFFFF" w:val="clear"/>
            <w:vAlign w:val="center"/>
          </w:tcPr>
          <w:p>
            <w:pPr>
              <w:pStyle w:val="TableContents"/>
              <w:bidi w:val="0"/>
              <w:spacing w:before="0" w:after="283"/>
              <w:jc w:val="left"/>
              <w:rPr/>
            </w:pPr>
            <w:hyperlink w:anchor="a_014">
              <w:r>
                <w:rPr>
                  <w:rStyle w:val="InternetLink"/>
                  <w:b/>
                </w:rPr>
                <w:t>Item 4. Mine Safety Disclosures</w:t>
              </w:r>
            </w:hyperlink>
          </w:p>
        </w:tc>
        <w:tc>
          <w:tcPr>
            <w:tcW w:w="484" w:type="dxa"/>
            <w:tcBorders/>
            <w:shd w:fill="FFFFFF" w:val="clear"/>
            <w:vAlign w:val="center"/>
          </w:tcPr>
          <w:p>
            <w:pPr>
              <w:pStyle w:val="TableContents"/>
              <w:bidi w:val="0"/>
              <w:spacing w:before="0" w:after="283"/>
              <w:ind w:left="0" w:right="0" w:hanging="180"/>
              <w:jc w:val="center"/>
              <w:rPr/>
            </w:pPr>
            <w:r>
              <w:rPr/>
              <w:t>42</w:t>
            </w:r>
          </w:p>
        </w:tc>
      </w:tr>
      <w:tr>
        <w:trPr/>
        <w:tc>
          <w:tcPr>
            <w:tcW w:w="9721" w:type="dxa"/>
            <w:tcBorders/>
            <w:shd w:fill="CCEEFF" w:val="clear"/>
            <w:vAlign w:val="center"/>
          </w:tcPr>
          <w:p>
            <w:pPr>
              <w:pStyle w:val="TableContents"/>
              <w:bidi w:val="0"/>
              <w:spacing w:before="0" w:after="283"/>
              <w:jc w:val="left"/>
              <w:rPr/>
            </w:pPr>
            <w:hyperlink w:anchor="a_015">
              <w:r>
                <w:rPr>
                  <w:rStyle w:val="InternetLink"/>
                  <w:b/>
                </w:rPr>
                <w:t>Item 5. Other Information</w:t>
              </w:r>
            </w:hyperlink>
          </w:p>
        </w:tc>
        <w:tc>
          <w:tcPr>
            <w:tcW w:w="484" w:type="dxa"/>
            <w:tcBorders/>
            <w:shd w:fill="CCEEFF" w:val="clear"/>
            <w:vAlign w:val="center"/>
          </w:tcPr>
          <w:p>
            <w:pPr>
              <w:pStyle w:val="TableContents"/>
              <w:bidi w:val="0"/>
              <w:spacing w:before="0" w:after="283"/>
              <w:ind w:left="0" w:right="0" w:hanging="180"/>
              <w:jc w:val="center"/>
              <w:rPr/>
            </w:pPr>
            <w:r>
              <w:rPr/>
              <w:t>42</w:t>
            </w:r>
          </w:p>
        </w:tc>
      </w:tr>
      <w:tr>
        <w:trPr/>
        <w:tc>
          <w:tcPr>
            <w:tcW w:w="9721" w:type="dxa"/>
            <w:tcBorders/>
            <w:shd w:fill="FFFFFF" w:val="clear"/>
            <w:vAlign w:val="center"/>
          </w:tcPr>
          <w:p>
            <w:pPr>
              <w:pStyle w:val="TableContents"/>
              <w:bidi w:val="0"/>
              <w:spacing w:before="0" w:after="283"/>
              <w:jc w:val="left"/>
              <w:rPr/>
            </w:pPr>
            <w:hyperlink w:anchor="a_016">
              <w:r>
                <w:rPr>
                  <w:rStyle w:val="InternetLink"/>
                  <w:b/>
                </w:rPr>
                <w:t>Item 6. Exhibits</w:t>
              </w:r>
            </w:hyperlink>
          </w:p>
        </w:tc>
        <w:tc>
          <w:tcPr>
            <w:tcW w:w="484" w:type="dxa"/>
            <w:tcBorders/>
            <w:shd w:fill="FFFFFF" w:val="clear"/>
            <w:vAlign w:val="center"/>
          </w:tcPr>
          <w:p>
            <w:pPr>
              <w:pStyle w:val="TableContents"/>
              <w:bidi w:val="0"/>
              <w:spacing w:before="0" w:after="283"/>
              <w:jc w:val="center"/>
              <w:rPr/>
            </w:pPr>
            <w:r>
              <w:rPr/>
              <w:t>42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i w:val="false"/>
          <w:caps w:val="false"/>
          <w:smallCaps w:val="false"/>
          <w:sz w:val="20"/>
        </w:rPr>
        <w:t>PROFICIENT AUTO LOGISTICS,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9"/>
        <w:gridCol w:w="60"/>
        <w:gridCol w:w="140"/>
        <w:gridCol w:w="1220"/>
        <w:gridCol w:w="95"/>
        <w:gridCol w:w="60"/>
        <w:gridCol w:w="144"/>
        <w:gridCol w:w="1258"/>
        <w:gridCol w:w="89"/>
      </w:tblGrid>
      <w:tr>
        <w:trPr/>
        <w:tc>
          <w:tcPr>
            <w:tcW w:w="7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89" w:type="dxa"/>
            <w:tcBorders/>
            <w:vAlign w:val="center"/>
          </w:tcPr>
          <w:p>
            <w:pPr>
              <w:pStyle w:val="TableContents"/>
              <w:bidi w:val="0"/>
              <w:spacing w:before="0" w:after="283"/>
              <w:jc w:val="left"/>
              <w:rPr/>
            </w:pPr>
            <w:r>
              <w:rPr/>
              <w:t> </w:t>
            </w:r>
          </w:p>
        </w:tc>
      </w:tr>
      <w:tr>
        <w:trPr/>
        <w:tc>
          <w:tcPr>
            <w:tcW w:w="713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139"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r>
      <w:tr>
        <w:trPr/>
        <w:tc>
          <w:tcPr>
            <w:tcW w:w="713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8,130,738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14,285,745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Accounts receivable, less allowance for credit losses (2026 - $1,159,900; 2025 - $826,740)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53,744,352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42,188,909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Net investment in leases,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126,730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Maintenance supplies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2,081,732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1,714,238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Assets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606,572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28,500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Income tax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1,650,993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1,791,544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6,757,045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11,261,497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73,052,638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71,397,163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Property and equipment, net of accumulated depreciation and amortization (2026 - $55,772,844; 2025 - $43,500,044)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102,912,089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115,850,061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11,401,032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12,633,834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Net investment in leases, 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21,781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5,984,457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6,124,946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148,643,673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148,476,407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Intangible assets, net (2026 - $20,318,613; 2025 - $17,615,109)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117,975,387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122,804,891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534,121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668,426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460,503,397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477,977,509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11,336,163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8,305,255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28,593,388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33,030,001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Finance lease liabilities,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8,758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2,587,294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2,249,651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Long-term debt,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19,162,469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20,303,077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61,679,314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63,896,742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Operating lease liabilities, 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9,366,749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10,689,839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Long-term debt, 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44,582,063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54,026,968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Deferred tax liability,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32,016,854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34,900,440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2,973,049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3,073,049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157,318,029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166,587,038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i/>
              </w:rPr>
            </w:pPr>
            <w:r>
              <w:rPr>
                <w:i/>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Common stock, $0.01 par value; 50,000,000 shares authorized; 28,052,923 and 27,834,799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280,529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278,347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39"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358,358,051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356,179,787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(55,453,212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(45,067,663</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139" w:type="dxa"/>
            <w:tcBorders/>
            <w:shd w:fill="CCEEFF" w:val="clear"/>
            <w:vAlign w:val="center"/>
          </w:tcPr>
          <w:p>
            <w:pPr>
              <w:pStyle w:val="TableContents"/>
              <w:bidi w:val="0"/>
              <w:spacing w:before="0" w:after="283"/>
              <w:jc w:val="left"/>
              <w:rPr/>
            </w:pPr>
            <w:r>
              <w:rPr/>
              <w:t>Treasury stock at cost, 0 shares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39"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303,185,368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311,390,471</w:t>
            </w:r>
          </w:p>
        </w:tc>
        <w:tc>
          <w:tcPr>
            <w:tcW w:w="89" w:type="dxa"/>
            <w:tcBorders/>
            <w:shd w:fill="FFFFFF" w:val="clear"/>
            <w:vAlign w:val="center"/>
          </w:tcPr>
          <w:p>
            <w:pPr>
              <w:pStyle w:val="TableContents"/>
              <w:bidi w:val="0"/>
              <w:spacing w:before="0" w:after="283"/>
              <w:jc w:val="left"/>
              <w:rPr/>
            </w:pPr>
            <w:r>
              <w:rPr/>
              <w:t> </w:t>
            </w:r>
          </w:p>
        </w:tc>
      </w:tr>
      <w:tr>
        <w:trPr/>
        <w:tc>
          <w:tcPr>
            <w:tcW w:w="7139"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460,503,397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CCEEFF" w:val="clear"/>
            <w:tcMar>
              <w:bottom w:w="28" w:type="dxa"/>
            </w:tcMar>
            <w:vAlign w:val="center"/>
          </w:tcPr>
          <w:p>
            <w:pPr>
              <w:pStyle w:val="TableContents"/>
              <w:bidi w:val="0"/>
              <w:spacing w:before="0" w:after="283"/>
              <w:jc w:val="right"/>
              <w:rPr/>
            </w:pPr>
            <w:r>
              <w:rPr/>
              <w:t>477,977,509</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to the condensed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a_002"/>
      <w:bookmarkEnd w:id="3"/>
      <w:r>
        <w:rPr>
          <w:rFonts w:ascii="Times New Roman;Times;Serif" w:hAnsi="Times New Roman;Times;Serif"/>
          <w:b/>
          <w:i w:val="false"/>
          <w:caps w:val="false"/>
          <w:smallCaps w:val="false"/>
          <w:sz w:val="20"/>
        </w:rPr>
        <w:t>PROFICIENT AUTO LOGISTICS,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65"/>
        <w:gridCol w:w="60"/>
        <w:gridCol w:w="140"/>
        <w:gridCol w:w="1220"/>
        <w:gridCol w:w="95"/>
        <w:gridCol w:w="60"/>
        <w:gridCol w:w="140"/>
        <w:gridCol w:w="1220"/>
        <w:gridCol w:w="95"/>
        <w:gridCol w:w="60"/>
        <w:gridCol w:w="148"/>
        <w:gridCol w:w="1297"/>
        <w:gridCol w:w="95"/>
        <w:gridCol w:w="60"/>
        <w:gridCol w:w="148"/>
        <w:gridCol w:w="1297"/>
        <w:gridCol w:w="105"/>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10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b/>
              </w:rPr>
            </w:pPr>
            <w:r>
              <w:rPr>
                <w:b/>
              </w:rPr>
              <w:t>Operating 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Revenue, before fuel surcharge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182,212,564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194,987,487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96,015,610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107,372,359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Fuel surcharge and other reimbursements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16,916,037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12,230,095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11,251,586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6,802,255</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1,910,732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1,993,867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806,532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688,122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2,050,121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1,541,158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1,326,057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683,850</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b/>
              </w:rPr>
            </w:pPr>
            <w:r>
              <w:rPr>
                <w:b/>
              </w:rPr>
              <w:t>Total operating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203,089,454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210,752,607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109,399,785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115,546,586</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Salaries, wages and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42,970,439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41,744,796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22,077,595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22,456,693</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2,404,506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1,346,248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1,221,497</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Fuel and fuel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15,813,808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12,845,111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8,937,810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6,779,856</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Purchased transportation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97,598,053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106,156,861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52,984,044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58,948,018</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Truck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14,255,346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12,288,270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7,024,553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6,438,424</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14,778,246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14,135,559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7,171,239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7,646,980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Intangible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4,829,504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4,870,471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2,414,751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2,454,641</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Loss (gain) on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51,310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(235,095</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965" w:type="dxa"/>
            <w:tcBorders/>
            <w:shd w:fill="FFFFFF" w:val="clear"/>
            <w:vAlign w:val="center"/>
          </w:tcPr>
          <w:p>
            <w:pPr>
              <w:pStyle w:val="TableContents"/>
              <w:bidi w:val="0"/>
              <w:spacing w:before="0" w:after="283"/>
              <w:jc w:val="left"/>
              <w:rPr/>
            </w:pPr>
            <w:r>
              <w:rPr/>
              <w:t>Insurance premiums and claims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11,378,951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10,341,191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6,091,606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5,382,512</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General, selling, and other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8,895,315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8,429,304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4,535,660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4,327,702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213,259,039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212,989,755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112,634,816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115,421,228</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(10,169,585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(2,237,148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(3,235,031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125,358</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Other income and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(2,829,067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(3,408,796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(1,432,046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(1,837,876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965"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(311,807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(274,705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96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(19,089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105,069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(2,838,065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(3,539,312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(1,474,871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(2,007,512</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96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(13,007,650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(5,776,460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(4,709,902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(1,882,154</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965"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(2,622,101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(1,027,942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(814,454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(325,321</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9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(10,385,549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(4,748,518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(3,895,448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(1,556,833</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b/>
              </w:rPr>
            </w:pPr>
            <w:r>
              <w:rPr>
                <w:b/>
              </w:rPr>
              <w:t>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pPr>
            <w:r>
              <w:rPr/>
              <w:t>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7"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7" w:type="dxa"/>
            <w:tcBorders/>
            <w:shd w:fill="FFFFFF" w:val="clear"/>
            <w:vAlign w:val="center"/>
          </w:tcPr>
          <w:p>
            <w:pPr>
              <w:pStyle w:val="TableContents"/>
              <w:bidi w:val="0"/>
              <w:spacing w:before="0" w:after="283"/>
              <w:jc w:val="right"/>
              <w:rPr/>
            </w:pPr>
            <w:r>
              <w:rPr/>
              <w:t>(0.06</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965" w:type="dxa"/>
            <w:tcBorders/>
            <w:shd w:fill="FFFFFF" w:val="clear"/>
            <w:vAlign w:val="center"/>
          </w:tcPr>
          <w:p>
            <w:pPr>
              <w:pStyle w:val="TableContents"/>
              <w:bidi w:val="0"/>
              <w:spacing w:before="0" w:after="283"/>
              <w:jc w:val="left"/>
              <w:rPr>
                <w:b/>
              </w:rPr>
            </w:pPr>
            <w:r>
              <w:rPr>
                <w:b/>
              </w:rPr>
              <w:t>Weighted Average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b/>
              </w:rPr>
            </w:pPr>
            <w:r>
              <w:rPr>
                <w:b/>
              </w:rPr>
              <w:t>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27,876,507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27,341,813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27,926,011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27,611,515</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to the condensed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a_003"/>
      <w:bookmarkEnd w:id="4"/>
      <w:r>
        <w:rPr>
          <w:rFonts w:ascii="Times New Roman;Times;Serif" w:hAnsi="Times New Roman;Times;Serif"/>
          <w:b/>
          <w:i w:val="false"/>
          <w:caps w:val="false"/>
          <w:smallCaps w:val="false"/>
          <w:sz w:val="20"/>
        </w:rPr>
        <w:t>PROFICIENT AUTO LOGISTICS,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0"/>
        <w:gridCol w:w="60"/>
        <w:gridCol w:w="60"/>
        <w:gridCol w:w="1100"/>
        <w:gridCol w:w="60"/>
        <w:gridCol w:w="60"/>
        <w:gridCol w:w="140"/>
        <w:gridCol w:w="800"/>
        <w:gridCol w:w="60"/>
        <w:gridCol w:w="60"/>
        <w:gridCol w:w="140"/>
        <w:gridCol w:w="1220"/>
        <w:gridCol w:w="60"/>
        <w:gridCol w:w="60"/>
        <w:gridCol w:w="145"/>
        <w:gridCol w:w="1225"/>
        <w:gridCol w:w="95"/>
        <w:gridCol w:w="60"/>
        <w:gridCol w:w="140"/>
        <w:gridCol w:w="1220"/>
        <w:gridCol w:w="110"/>
      </w:tblGrid>
      <w:tr>
        <w:trPr/>
        <w:tc>
          <w:tcPr>
            <w:tcW w:w="2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 xml:space="preserve">Additional </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27,069,114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270,691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346,756,929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(9,048,097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337,979,523</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1,183,009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1,183,009</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(3,191,685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(3,191,685</w:t>
            </w:r>
          </w:p>
        </w:tc>
        <w:tc>
          <w:tcPr>
            <w:tcW w:w="110"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left"/>
              <w:rPr>
                <w:b/>
              </w:rPr>
            </w:pPr>
            <w:r>
              <w:rPr>
                <w:b/>
              </w:rPr>
              <w:t>Balance,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27,069,114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270,691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347,939,938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(12,239,782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335,970,847</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395,322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3,810,911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3,814,864</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274,549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1,218,752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1,221,497</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77,932</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(1,556,833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(1,556,833</w:t>
            </w:r>
          </w:p>
        </w:tc>
        <w:tc>
          <w:tcPr>
            <w:tcW w:w="110"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left"/>
              <w:rPr>
                <w:b/>
              </w:rPr>
            </w:pPr>
            <w:r>
              <w:rPr>
                <w:b/>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27,738,985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277,389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353,047,533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(13,796,615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339,528,307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0"/>
        <w:gridCol w:w="60"/>
        <w:gridCol w:w="60"/>
        <w:gridCol w:w="1100"/>
        <w:gridCol w:w="60"/>
        <w:gridCol w:w="60"/>
        <w:gridCol w:w="140"/>
        <w:gridCol w:w="800"/>
        <w:gridCol w:w="60"/>
        <w:gridCol w:w="60"/>
        <w:gridCol w:w="140"/>
        <w:gridCol w:w="1220"/>
        <w:gridCol w:w="60"/>
        <w:gridCol w:w="60"/>
        <w:gridCol w:w="145"/>
        <w:gridCol w:w="1225"/>
        <w:gridCol w:w="95"/>
        <w:gridCol w:w="60"/>
        <w:gridCol w:w="140"/>
        <w:gridCol w:w="875"/>
        <w:gridCol w:w="95"/>
        <w:gridCol w:w="60"/>
        <w:gridCol w:w="140"/>
        <w:gridCol w:w="1220"/>
        <w:gridCol w:w="110"/>
      </w:tblGrid>
      <w:tr>
        <w:trPr/>
        <w:tc>
          <w:tcPr>
            <w:tcW w:w="2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Treasury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27,834,799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278,347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356,179,787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(45,067,663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311,390,471</w:t>
            </w:r>
          </w:p>
        </w:tc>
        <w:tc>
          <w:tcPr>
            <w:tcW w:w="110"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1,351,900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1,352,082</w:t>
            </w:r>
          </w:p>
        </w:tc>
        <w:tc>
          <w:tcPr>
            <w:tcW w:w="110"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(6,490,101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(6,490,101</w:t>
            </w:r>
          </w:p>
        </w:tc>
        <w:tc>
          <w:tcPr>
            <w:tcW w:w="110" w:type="dxa"/>
            <w:tcBorders/>
            <w:shd w:fill="CCEEFF" w:val="clear"/>
            <w:vAlign w:val="center"/>
          </w:tcPr>
          <w:p>
            <w:pPr>
              <w:pStyle w:val="TableContents"/>
              <w:bidi w:val="0"/>
              <w:spacing w:before="0" w:after="283"/>
              <w:jc w:val="left"/>
              <w:rPr/>
            </w:pPr>
            <w:r>
              <w:rPr/>
              <w:t>)</w:t>
            </w:r>
          </w:p>
        </w:tc>
      </w:tr>
      <w:tr>
        <w:trPr/>
        <w:tc>
          <w:tcPr>
            <w:tcW w:w="2160" w:type="dxa"/>
            <w:tcBorders/>
            <w:shd w:fill="FFFFFF" w:val="clear"/>
            <w:vAlign w:val="center"/>
          </w:tcPr>
          <w:p>
            <w:pPr>
              <w:pStyle w:val="TableContents"/>
              <w:bidi w:val="0"/>
              <w:spacing w:before="0" w:after="283"/>
              <w:jc w:val="left"/>
              <w:rPr/>
            </w:pPr>
            <w:r>
              <w:rPr/>
              <w:t>Repurchase of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(517,884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(517,884</w:t>
            </w:r>
          </w:p>
        </w:tc>
        <w:tc>
          <w:tcPr>
            <w:tcW w:w="110" w:type="dxa"/>
            <w:tcBorders/>
            <w:shd w:fill="FFFFFF" w:val="clear"/>
            <w:vAlign w:val="center"/>
          </w:tcPr>
          <w:p>
            <w:pPr>
              <w:pStyle w:val="TableContents"/>
              <w:bidi w:val="0"/>
              <w:spacing w:before="0" w:after="283"/>
              <w:jc w:val="left"/>
              <w:rPr/>
            </w:pPr>
            <w:r>
              <w:rPr/>
              <w:t>)</w:t>
            </w:r>
          </w:p>
        </w:tc>
      </w:tr>
      <w:tr>
        <w:trPr/>
        <w:tc>
          <w:tcPr>
            <w:tcW w:w="216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27,852,951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278,529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357,531,687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(51,557,764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(517,884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305,734,568</w:t>
            </w:r>
          </w:p>
        </w:tc>
        <w:tc>
          <w:tcPr>
            <w:tcW w:w="110"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283"/>
              <w:jc w:val="left"/>
              <w:rPr/>
            </w:pPr>
            <w:r>
              <w:rPr/>
              <w:t>Issuance of restricted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199,972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826,364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517,884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1,346,248</w:t>
            </w:r>
          </w:p>
        </w:tc>
        <w:tc>
          <w:tcPr>
            <w:tcW w:w="110"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(3,895,448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(3,895,448</w:t>
            </w:r>
          </w:p>
        </w:tc>
        <w:tc>
          <w:tcPr>
            <w:tcW w:w="110" w:type="dxa"/>
            <w:tcBorders/>
            <w:shd w:fill="FFFFFF" w:val="clear"/>
            <w:vAlign w:val="center"/>
          </w:tcPr>
          <w:p>
            <w:pPr>
              <w:pStyle w:val="TableContents"/>
              <w:bidi w:val="0"/>
              <w:spacing w:before="0" w:after="283"/>
              <w:jc w:val="left"/>
              <w:rPr/>
            </w:pPr>
            <w:r>
              <w:rPr/>
              <w:t>)</w:t>
            </w:r>
          </w:p>
        </w:tc>
      </w:tr>
      <w:tr>
        <w:trPr/>
        <w:tc>
          <w:tcPr>
            <w:tcW w:w="2160" w:type="dxa"/>
            <w:tcBorders/>
            <w:shd w:fill="CCEEFF" w:val="clear"/>
            <w:vAlign w:val="center"/>
          </w:tcPr>
          <w:p>
            <w:pPr>
              <w:pStyle w:val="TableContents"/>
              <w:bidi w:val="0"/>
              <w:spacing w:before="0" w:after="283"/>
              <w:jc w:val="left"/>
              <w:rPr/>
            </w:pPr>
            <w:r>
              <w:rPr/>
              <w:t>Repurchase of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283"/>
              <w:jc w:val="left"/>
              <w:rPr>
                <w:b/>
              </w:rPr>
            </w:pPr>
            <w:r>
              <w:rPr>
                <w:b/>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28,052,923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280,529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358,358,051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(55,453,212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303,185,368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to the condensed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a_004"/>
      <w:bookmarkEnd w:id="5"/>
      <w:r>
        <w:rPr>
          <w:rFonts w:ascii="Times New Roman;Times;Serif" w:hAnsi="Times New Roman;Times;Serif"/>
          <w:b/>
          <w:i w:val="false"/>
          <w:caps w:val="false"/>
          <w:smallCaps w:val="false"/>
          <w:sz w:val="20"/>
        </w:rPr>
        <w:t>PROFICIENT AUTO LOGISTICS,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3"/>
        <w:gridCol w:w="60"/>
        <w:gridCol w:w="140"/>
        <w:gridCol w:w="1175"/>
        <w:gridCol w:w="95"/>
        <w:gridCol w:w="60"/>
        <w:gridCol w:w="140"/>
        <w:gridCol w:w="1175"/>
        <w:gridCol w:w="107"/>
      </w:tblGrid>
      <w:tr>
        <w:trPr/>
        <w:tc>
          <w:tcPr>
            <w:tcW w:w="7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107" w:type="dxa"/>
            <w:tcBorders/>
            <w:vAlign w:val="center"/>
          </w:tcPr>
          <w:p>
            <w:pPr>
              <w:pStyle w:val="TableContents"/>
              <w:bidi w:val="0"/>
              <w:spacing w:before="0" w:after="283"/>
              <w:jc w:val="left"/>
              <w:rPr/>
            </w:pPr>
            <w:r>
              <w:rPr/>
              <w:t> </w:t>
            </w:r>
          </w:p>
        </w:tc>
      </w:tr>
      <w:tr>
        <w:trPr/>
        <w:tc>
          <w:tcPr>
            <w:tcW w:w="7253"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(10,385,549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(4,748,518</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Adjustments to reconcile net loss to net cash flows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2,698,330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2,404,506</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359,339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210,232</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19,607,750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19,006,030</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Loss (Gain) on sale of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(226,314</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(20,554</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37,885</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(2,883,586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(2,606,072</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Operating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1,503,964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1,261,610</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(11,934,583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(8,081,338</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Net investment in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136,315</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Maintenance supplies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(367,494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(38,799</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Income tax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1,001,176</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4,638,761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2,859,066</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(145,530</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2,883,442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896,139</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(4,536,613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2,405,414</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42,470</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(1,256,609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(1,175,333</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Net cash flows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729,514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13,218,385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Proceeds from sale of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918,217</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(2,618,558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(2,960,892</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Business combinations, net of cash acquired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(9,064,475</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(2,441,894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(11,107,150</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Proceeds from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3,000,000</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Proceeds from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9,000,000</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Repayments of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(5,000,000</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Repayments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(10,415,985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(10,820,444</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Repayments of finance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(43,253</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Payment of financing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(517,884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Net cash flows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(4,442,627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(3,863,697</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253" w:type="dxa"/>
            <w:tcBorders/>
            <w:shd w:fill="FFFFFF" w:val="clear"/>
            <w:vAlign w:val="center"/>
          </w:tcPr>
          <w:p>
            <w:pPr>
              <w:pStyle w:val="TableContents"/>
              <w:bidi w:val="0"/>
              <w:spacing w:before="0" w:after="283"/>
              <w:jc w:val="left"/>
              <w:rPr/>
            </w:pPr>
            <w:r>
              <w:rPr/>
              <w:t>Net change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(6,155,007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(1,752,462</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253"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14,285,745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15,398,714</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8,130,738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13,646,252</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2,783,873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3,331,751</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337,810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493,617</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b/>
              </w:rPr>
            </w:pPr>
            <w:r>
              <w:rPr>
                <w:b/>
              </w:rPr>
              <w:t>Noncash investing and financing activity: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Equipment financed through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5,178,593</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253"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100,000</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253" w:type="dxa"/>
            <w:tcBorders/>
            <w:shd w:fill="CCEEFF" w:val="clear"/>
            <w:vAlign w:val="center"/>
          </w:tcPr>
          <w:p>
            <w:pPr>
              <w:pStyle w:val="TableContents"/>
              <w:bidi w:val="0"/>
              <w:spacing w:before="0" w:after="283"/>
              <w:jc w:val="left"/>
              <w:rPr/>
            </w:pPr>
            <w:r>
              <w:rPr/>
              <w:t>Issuance of shares for business combinations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3,814,864</w:t>
            </w:r>
          </w:p>
        </w:tc>
        <w:tc>
          <w:tcPr>
            <w:tcW w:w="10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to the condensed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PROFICIENT AUTO LOGISTICS, INC. AND SUBSIDIARIES</w:t>
        <w:br/>
        <w:t>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 Acquisition Corp. was formed on June 13, 2023, pursuant to the laws of the State of Delaware to become a holding company for the consolidation of several operating companies within the automobile transportation industry. Subsequently, on October 17, 2023, AH Acquisition Corp. legally changed its name to Proficient Auto Logistics, Inc. (“Proficient,” the “Company,” or “we”).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Proficient is an industry leading specialized freight company focused on providing auto transportation and logistics services. The Company offers a broad range of auto transportation and logistics services, primarily focused on transporting finished vehicles from automotive production facilities, marine ports of entry, or regional rail yards to auto dealerships around the country. We have developed a differentiated business model due to our scale, breadth of geographic coverage, and embedded customer relationships with leading auto original equipment manufacturing companies (“OEMs”). Our customers range from large, global auto companies, to electric vehicle producers. Additional customers include auto dealers, auto auctions, rental car companies, and auto leasing companies. Proficient operates an asset-based Company Drivers service (“Company Drivers”) on behalf of the manufacturers. In addition, Proficient serves OEMs and other customers through independent contractors and third-party carriers under an asset-light freight model (“Subhaulers”).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Basis of Presentation </w:t>
      </w:r>
      <w:r>
        <w:rPr>
          <w:rFonts w:ascii="Times New Roman;Times;Serif" w:hAnsi="Times New Roman;Times;Serif"/>
          <w:b w:val="false"/>
          <w:i w:val="false"/>
          <w:caps w:val="false"/>
          <w:smallCaps w:val="false"/>
          <w:sz w:val="20"/>
        </w:rPr>
        <w:t>— The condensed consolidated financial statements and footnotes have been prepared in conformity with accounting principles generally accepted in the United States of America (“U.S. GAAP”).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Principles of Consolidation </w:t>
      </w:r>
      <w:r>
        <w:rPr>
          <w:rFonts w:ascii="Times New Roman;Times;Serif" w:hAnsi="Times New Roman;Times;Serif"/>
          <w:b w:val="false"/>
          <w:i w:val="false"/>
          <w:caps w:val="false"/>
          <w:smallCaps w:val="false"/>
          <w:sz w:val="20"/>
        </w:rPr>
        <w:t>— The condensed consolidated financial statements include the accounts of the Company and its wholly owned subsidiaries. All significant intercompany transactions and accounts have been eliminated. The condensed consolidated financial statements include the impact of push-down accounting with acquisition related costs pushed down to the corresponding reporting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Seasonality </w:t>
      </w:r>
      <w:r>
        <w:rPr>
          <w:rFonts w:ascii="Times New Roman;Times;Serif" w:hAnsi="Times New Roman;Times;Serif"/>
          <w:b w:val="false"/>
          <w:i w:val="false"/>
          <w:caps w:val="false"/>
          <w:smallCaps w:val="false"/>
          <w:sz w:val="20"/>
        </w:rPr>
        <w:t>— In our industry, results of operations generally follow a seasonal pattern. Volumes in the first quarter are typically lower due to less consumer demand, customers reducing shipments following year end, and inclement winter weather. At the same time, operating expenses generally increase, and tractor productivity of the Company's fleet and independent contractors decreases during the winter months due to decreased fuel efficiency, increased cold-weather-related equipment maintenance and repairs, and increased insurance claims and costs attributed to higher accident frequency from harsh weather. These factors typically lead to lower operating profitability, as compared to other parts of the year. Additionally, beginning in the latter half of the third quarter and continuing into the fourth quarter, the Company typically experiences surges in volumes from customers pushing to move units before year end. Additionally, macroeconomic trends and cyclical changes in the auto haul industry, including imbalances in supply and demand, can override the seasonality faced in the industry.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 </w:t>
      </w:r>
      <w:r>
        <w:rPr>
          <w:rFonts w:ascii="Times New Roman;Times;Serif" w:hAnsi="Times New Roman;Times;Serif"/>
          <w:b w:val="false"/>
          <w:i w:val="false"/>
          <w:caps w:val="false"/>
          <w:smallCaps w:val="false"/>
          <w:sz w:val="20"/>
        </w:rPr>
        <w:t xml:space="preserve">— Accounts receivable represents customer obligations due under normal trade terms. The Company establishes an allowance for credit losses based on historical experience and any known trends or uncertainties related to customer billing and account collectability. The Company reviews the adequacy of its allowance for credit losses on a quarterly basis. Uncollectible accounts are written off when deemed uncollectible, and accounts receivable are presented net of an allowance for credit losses. Based on the information available, the Company recorded an allowance for credit losses of approximately $1,159,900 and $826,740 at June 30, 2026 and December 31, 2025, respectively. Actual write-offs could differ from management’s estimate.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Business combinations </w:t>
      </w:r>
      <w:r>
        <w:rPr>
          <w:rFonts w:ascii="Times New Roman;Times;Serif" w:hAnsi="Times New Roman;Times;Serif"/>
          <w:b w:val="false"/>
          <w:i w:val="false"/>
          <w:caps w:val="false"/>
          <w:smallCaps w:val="false"/>
          <w:sz w:val="20"/>
        </w:rPr>
        <w:t xml:space="preserve">— The Company accounts for business combinations using the acquisition method pursuant to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For each acquisition, the Company recognizes the assets acquired and liabilities assumed at their respective fair values as of the acquisition date. Valuations of certain assets acquired, including customer relationships, and trade names involve significant judgment and estimation. The Company uses independent valuation specialists to help determine fair value of certain assets and liabilities. Valuations utilize significant estimates, such as forecasted revenues and profits. Changes in these estimates could significantly impact the value of certain assets and liabilities. ASC 805 establishes a measurement period to provide the Company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the acquisition date. The Company expects to complete the final fair value determination of the assets acquired and liabilities assumed as soon as practicable within the measurement period, but not to exceed one year from the acquisition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Goodwill </w:t>
      </w:r>
      <w:r>
        <w:rPr>
          <w:rFonts w:ascii="Times New Roman;Times;Serif" w:hAnsi="Times New Roman;Times;Serif"/>
          <w:b w:val="false"/>
          <w:i w:val="false"/>
          <w:caps w:val="false"/>
          <w:smallCaps w:val="false"/>
          <w:sz w:val="20"/>
        </w:rPr>
        <w:t>— Goodwill is recorded when the purchase price paid in a business combination exceeds the fair value of assets acquired and liabilities assumed. Goodwill is reviewed for impairment on an annual basis with the assessment date of November 30th, or upon an occurrence of an event or changes in circumstances that indicate that the carrying value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is the amount by which a reporting unit’s carrying value exceeds its fair value, not to exceed the carrying amount of goodwill. When testing goodwill for impairment, the Company may first perform a qualitative assessment to determine whether the fair value of a reporting unit is less than its carrying amount. The Company then completes a quantitative impairment test if the qualitative assessment indicates that it is more likely than not that the reporting unit’s fair value is less than the carrying value of its assets. As part of the Company’s impairment analysis, fair value of a reporting unit is generally determined using the income and market approaches. The income approach requires management to estimate a number of factors for each reporting unit, including projected future operating results, economic projections, anticipated future cash flows and discount rates. The market approach estimates fair value using comparable marketplace fair value data from within a comparable industry grouping, as well as recent guideline transactions. The determination of the fair value of the reporting units requires the Company to make significant estimates and assumptions with respect to the business and financial performance of the Company’s reporting units. These estimates and assumptions primarily include, but are not limited to, the selection of appropriate peer group companies, control premiums appropriate for acquisitions in the industry in which we compete, discount rates, terminal growth rates, forecasts of revenue, operating income, working capital requirements, and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fair value of the reporting unit exceeds the carrying value, goodwill is not considered impaired, and no additional steps are needed. If, however, the fair value of the reporting unit is less than its carrying value, then the amount of the impairment loss is the amount by which the reporting unit’s carrying value exceeds its fair value, not to exceed the carrying amount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Net</w:t>
      </w:r>
      <w:r>
        <w:rPr>
          <w:rFonts w:ascii="Times New Roman;Times;Serif" w:hAnsi="Times New Roman;Times;Serif"/>
          <w:b w:val="false"/>
          <w:i w:val="false"/>
          <w:caps w:val="false"/>
          <w:smallCaps w:val="false"/>
          <w:sz w:val="20"/>
        </w:rPr>
        <w:t xml:space="preserve"> — The Company’s intangible assets consist of acquired customer relationships and trade names. Intangible assets with finite lives are amortized over their estimated useful lives using the straight-line method. Intangible assets historically have been acquired through business combinations and recorded at their purchase date estimated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determining the fair value of acquired intangible assets, management makes significant estimates and assumptions, including, but not limited to, expected long-term market growth, customer retention, future expected operating expenses, costs of capital and appropriate discount rates. Finite-lived intangible assets are amortized using the straight-line method over their respective estimated useful lives. The Company amortizes its intangible assets using the straight-line method over their estimated useful lives of 15 years for customer relationships, and 10 years for trade names.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xml:space="preserve"> - The Company recognizes revenue over time as control of the promised services is transferred to our customers, in an amount that reflects the consideration we expect to be entitled to in exchange for those services. The delivery of the shipment and completion of the performance obligation allows for the collection of payment between 30 to 60 days after the delivery date of the shipment for the majority of our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consistent with those in the trucking industry where freight can be hauled twenty-four hours a day and seven days a week, subject to hours of service rules. Approximately 94% of the loads are less than 500 miles in length of haul. Each individual shipment accepted by the Company is considered a separate contract with the performance obligation being the delivery of the freight. Our average length of haul for each load of freight generally equals less than two days of continuous transit time. The Company has therefore applied the practical expedient and has not disclosed the amount of remaining unsatisfied performance obligations. The Company estimates revenue for loads based on transit time, as the customer simultaneously receives and consumes the benefit provided. The Company hauls freight and earns revenue on a consistent basis throughout the periods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Stock-Based Compensation </w:t>
      </w:r>
      <w:r>
        <w:rPr>
          <w:rFonts w:ascii="Times New Roman;Times;Serif" w:hAnsi="Times New Roman;Times;Serif"/>
          <w:b w:val="false"/>
          <w:i w:val="false"/>
          <w:caps w:val="false"/>
          <w:smallCaps w:val="false"/>
          <w:sz w:val="20"/>
        </w:rPr>
        <w:t>— Restricted Stock Units (“RSUs”) and Performance Stock Units (“PSUs”) have been granted to eligible employees and independent board members of the Company. Recipients are required to remain employed for the necessary service period, and in the case of the PSUs, achieve specified performance conditions established by the Company. The Company has recorded compensation expense within stock-based compensation in the consolidated statement of operations. In accounting for stock-based compensation awards, the Company measures and recognizes the cost of employee services received in exchange for awards of equity instruments based on the grant date fair value of those awards. Compensation expense for time-vesting awards is recognized ratably using the straight-line attribution method over the vesting period, which is considered to be the requisite service period. Compensation expense for PSUs is recognized over the required service period based on management’s assessment of the probability of achieving the applicable performance conditions. The estimated fair value of the RSUs and PSUs was determined using the fair value of the Company’s common stock on the grant date.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 The Company determines fair value based upon the price that would be received to sell an asset or paid to transfer a liability in an orderly transaction between market participants at the measurement date, as determined by either the principal market or the most advantageous market in which it transacts. The Company applies fair value accounting for all the financial assets and liabilities that are recognized or disclosed at fair value in the consolidated financial statements on a recurring basis. 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31"/>
        <w:gridCol w:w="9299"/>
      </w:tblGrid>
      <w:tr>
        <w:trPr/>
        <w:tc>
          <w:tcPr>
            <w:tcW w:w="75" w:type="dxa"/>
            <w:tcBorders/>
            <w:vAlign w:val="center"/>
          </w:tcPr>
          <w:p>
            <w:pPr>
              <w:pStyle w:val="TableContents"/>
              <w:bidi w:val="0"/>
              <w:spacing w:before="0" w:after="283"/>
              <w:jc w:val="both"/>
              <w:rPr/>
            </w:pPr>
            <w:r>
              <w:rPr/>
              <w:t> </w:t>
            </w:r>
          </w:p>
        </w:tc>
        <w:tc>
          <w:tcPr>
            <w:tcW w:w="831" w:type="dxa"/>
            <w:tcBorders/>
            <w:vAlign w:val="center"/>
          </w:tcPr>
          <w:p>
            <w:pPr>
              <w:pStyle w:val="TableContents"/>
              <w:bidi w:val="0"/>
              <w:spacing w:before="0" w:after="283"/>
              <w:jc w:val="left"/>
              <w:rPr/>
            </w:pPr>
            <w:r>
              <w:rPr/>
              <w:t>Level 1 –</w:t>
            </w:r>
          </w:p>
        </w:tc>
        <w:tc>
          <w:tcPr>
            <w:tcW w:w="9299" w:type="dxa"/>
            <w:tcBorders/>
            <w:vAlign w:val="center"/>
          </w:tcPr>
          <w:p>
            <w:pPr>
              <w:pStyle w:val="TableContents"/>
              <w:bidi w:val="0"/>
              <w:spacing w:before="0" w:after="283"/>
              <w:jc w:val="both"/>
              <w:rPr/>
            </w:pPr>
            <w:r>
              <w:rPr/>
              <w:t>Observable inputs such as unadjusted, quoted prices in active markets for identical assets or liabilities at the measurement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94"/>
        <w:gridCol w:w="9436"/>
      </w:tblGrid>
      <w:tr>
        <w:trPr/>
        <w:tc>
          <w:tcPr>
            <w:tcW w:w="75" w:type="dxa"/>
            <w:tcBorders/>
            <w:vAlign w:val="center"/>
          </w:tcPr>
          <w:p>
            <w:pPr>
              <w:pStyle w:val="TableContents"/>
              <w:bidi w:val="0"/>
              <w:spacing w:before="0" w:after="283"/>
              <w:jc w:val="both"/>
              <w:rPr/>
            </w:pPr>
            <w:r>
              <w:rPr/>
              <w:t> </w:t>
            </w:r>
          </w:p>
        </w:tc>
        <w:tc>
          <w:tcPr>
            <w:tcW w:w="694" w:type="dxa"/>
            <w:tcBorders/>
            <w:vAlign w:val="center"/>
          </w:tcPr>
          <w:p>
            <w:pPr>
              <w:pStyle w:val="TableContents"/>
              <w:bidi w:val="0"/>
              <w:spacing w:before="0" w:after="283"/>
              <w:jc w:val="left"/>
              <w:rPr/>
            </w:pPr>
            <w:r>
              <w:rPr/>
              <w:t xml:space="preserve">Level 2 – </w:t>
            </w:r>
          </w:p>
        </w:tc>
        <w:tc>
          <w:tcPr>
            <w:tcW w:w="9436" w:type="dxa"/>
            <w:tcBorders/>
            <w:vAlign w:val="center"/>
          </w:tcPr>
          <w:p>
            <w:pPr>
              <w:pStyle w:val="TableContents"/>
              <w:bidi w:val="0"/>
              <w:spacing w:before="0" w:after="283"/>
              <w:jc w:val="both"/>
              <w:rPr/>
            </w:pPr>
            <w:r>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73"/>
        <w:gridCol w:w="9457"/>
      </w:tblGrid>
      <w:tr>
        <w:trPr/>
        <w:tc>
          <w:tcPr>
            <w:tcW w:w="75" w:type="dxa"/>
            <w:tcBorders/>
            <w:vAlign w:val="center"/>
          </w:tcPr>
          <w:p>
            <w:pPr>
              <w:pStyle w:val="TableContents"/>
              <w:bidi w:val="0"/>
              <w:spacing w:before="0" w:after="283"/>
              <w:jc w:val="both"/>
              <w:rPr/>
            </w:pPr>
            <w:r>
              <w:rPr/>
              <w:t> </w:t>
            </w:r>
          </w:p>
        </w:tc>
        <w:tc>
          <w:tcPr>
            <w:tcW w:w="673" w:type="dxa"/>
            <w:tcBorders/>
            <w:vAlign w:val="center"/>
          </w:tcPr>
          <w:p>
            <w:pPr>
              <w:pStyle w:val="TableContents"/>
              <w:bidi w:val="0"/>
              <w:spacing w:before="0" w:after="283"/>
              <w:jc w:val="left"/>
              <w:rPr/>
            </w:pPr>
            <w:r>
              <w:rPr/>
              <w:t>Level 3 –</w:t>
            </w:r>
          </w:p>
        </w:tc>
        <w:tc>
          <w:tcPr>
            <w:tcW w:w="9457" w:type="dxa"/>
            <w:tcBorders/>
            <w:vAlign w:val="center"/>
          </w:tcPr>
          <w:p>
            <w:pPr>
              <w:pStyle w:val="TableContents"/>
              <w:bidi w:val="0"/>
              <w:spacing w:before="0" w:after="283"/>
              <w:jc w:val="both"/>
              <w:rPr/>
            </w:pPr>
            <w:r>
              <w:rPr/>
              <w:t>Unobservable inputs that are supported by little or no market activity and that are significant to the fair value of the assets or liabilities. These inputs are based on the Company’s own assumptions about current market conditions and require significant management judgment or estimation.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carrying value of cash and cash equivalents, accounts receivable, accounts payable, accrued liabilities, and other current assets and liabilities approximates fair value due to the short maturities of these instruments. Interest rates on borrowings under long-term debt and finance lease obligations approximate the interest rates that would currently be available to the Company under similar terms, and as such, carrying value approximates fair value. Certain assets, including goodwill, intangible assets and other long-lived assets, are also subject to measurement at fair value on a nonrecurring basis (1) when they are acquired during a business combination as discussed in Note 3, and (2) if they are deemed to be impaired as a result of an impairment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Segment Reporting </w:t>
      </w:r>
      <w:r>
        <w:rPr>
          <w:rFonts w:ascii="Times New Roman;Times;Serif" w:hAnsi="Times New Roman;Times;Serif"/>
          <w:b w:val="false"/>
          <w:i w:val="false"/>
          <w:caps w:val="false"/>
          <w:smallCaps w:val="false"/>
          <w:sz w:val="20"/>
        </w:rPr>
        <w:t xml:space="preserve">— In accordance with ASC 280, </w:t>
      </w:r>
      <w:r>
        <w:rPr>
          <w:rFonts w:ascii="Times New Roman;Times;Serif" w:hAnsi="Times New Roman;Times;Serif"/>
          <w:b w:val="false"/>
          <w:i/>
          <w:caps w:val="false"/>
          <w:smallCaps w:val="false"/>
          <w:sz w:val="20"/>
        </w:rPr>
        <w:t>Segment Reportin</w:t>
      </w:r>
      <w:r>
        <w:rPr>
          <w:rFonts w:ascii="Times New Roman;Times;Serif" w:hAnsi="Times New Roman;Times;Serif"/>
          <w:b w:val="false"/>
          <w:i w:val="false"/>
          <w:caps w:val="false"/>
          <w:smallCaps w:val="false"/>
          <w:sz w:val="20"/>
        </w:rPr>
        <w:t xml:space="preserve">g, operating segments are defined as components of an enterprise for which separate financial information is available and are regularly reviewed by the chief operating decision maker (“CODM”) in deciding how to allocate resources and in assessing performance. The CODM primarily evaluates performance based on operational results from the services provided by Company Drivers and Subhaulers. The Company’s CODM has been identified to collectively include the Company’s Chief Executive Officer, Chief Financial Officer, and Chief Operating Officer.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the segment operating profit or loss measure to evaluate the profitability and operational efficiency of each segment, identify areas for improvement, and make informed decisions about resource allocation, strategic planning, and performance targets. This measure of segment profit or loss is consistent with the measurement principles used in the consolidated financial statements. The CODM reviews the segment operating profit or loss on a quarterly basis during executive meetings and uses this information to assess segment performance (analyzing margins, revenue changes, and expense management), allocate resources (capital deployment and personnel allocation to executive strategic initiatives), strategic planning (setting short and longer term goals for expansion), and performance targets (establishing key performance indicators, monitoring progress, and revising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unique nature of the Company's operating structure, certain revenue-generating assets are interchangeable between segments. Additionally, the Company's CODMs do not review assets or liabilities by segment to make operating decisions. The Company allocates depreciation and amortization expense of its property and equipment to the segments based on the utilization of the asset by the segment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Accounting Pronouncements Not Yet Adopted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 Use Software (Subtopic 350-40), which removes project development stages when developing internal use software. The ASU is effective for fiscal years beginning after December 15, 2027, while early adoption is permitted. The Company is currently assessing any changes to capitalization that may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the Founding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2023, Proficient Auto Logistics, Inc. entered into agreements to acquire in multiple, separate acquisitions five operating businesses and their respective affiliated entities to form the Company, as applicable: (i) Delta Automotive Services, Inc. (which converted to Delta Automotive Services, LLC in an F-reorganization on April 29, 2024), doing business as Delta Auto Transport (“Delta”), (ii) Deluxe Auto Carriers, Inc. (“Deluxe”), (iii) Sierra Mountain Group, Inc. (“Sierra”), (iv) Proficient Auto Transport, Inc. (“Proficient Transport”), and (v) Tribeca Automotive Inc. (“Tribeca” and, together with Delta, Deluxe, Sierra, and Proficient Transport, the “Founding Companies”). The closing of the acquisitions occurred concurrently with the closing of the Company’s IPO of its common stock on May 13, 2024. Each of Deluxe, Sierra, Proficient Transport and Tribeca converted into a limited liability company on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various agreements to acquire the Founding Companies are briefly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Company entered into a Membership Interest Purchase Agreement and a Contribution Agreement to acquire all of the outstanding equity of Delta for cash and shares of common stock. Delta’s main business is transporting vehicles for automobile manufacturers to their dealers from the manufacturing site, marine port or rail hub, but it also derives a non-insignificant portion of its revenue from delivering used cars from and to auction companies, leasing companies, automobile dealers, manufacturers and individuals, primarily in the Southeast and East Coast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Company entered into a Stock Purchase Agreement and a Merger Agreement to acquire all of the outstanding equity of Deluxe for cash, shares of common stock and contingent consideration in the form of an earn-out provision. The earn-out provision that provided that the Company would make earn-out payments, fifty percent (50%) in cash and fifty percent (50%) in shares of common stock, to Deluxe under certain terms and conditions related to Deluxe’s EBITDA for the period commencing on January 1, 2024 and ending on December 31, 2024. No earnout payment was ultimately due under this agreement. Deluxe’s primary business is transporting vehicles for automobile manufacturers to their dealers from the manufacturing site, marine port or rail hub, but it also derives a non-insignificant portion of its revenue from delivering used cars from and to auction companies, leasing companies, automobile dealers, manufacturers and individuals, primarily in the West Coast and South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Company entered into a Stock Purchase Agreement and a Contribution Agreement to acquire all of the outstanding equity of Proficient Transport for cash and shares of common stock. Proficient Transport’s primary business is transporting vehicles for automobile manufacturers to their dealers from the manufacturing site, marine port or rail hub, but it also derives a non-insignificant portion of its revenue from delivering used cars from and to auction companies, leasing companies, automobile dealers, manufacturers and individuals, primarily in the South, Southeast and East Coast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Company entered into a Stock Purchase Agreement and a Merger Agreement to acquire all of the outstanding equity of Sierra for cash and shares of common stock. Sierra’s primary business is transporting vehicles for automobile manufacturers to their dealers from the manufacturing site, marine port or rail hub, but it also derives a non-insignificant portion of its revenue from delivering used cars from and to auction companies, leasing companies, automobile dealers, manufacturers and individuals, primarily in the West Coast and the Midwest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Company entered into a Stock Purchase Agreement and a Contribution Agreement to acquire all of the outstanding equity of Tribeca for cash and shares of common stock. Tribeca’s primary business is transporting vehicles for automobile manufacturers to their dealers from the manufacturing site, marine port or rail hub, but it also derives a non-insignificant portion of its revenue from delivering used cars from and to auction companies, leasing companies, automobile dealers, manufacturers and individuals, primarily in the East Coast and Southeast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acquisitions were accounted for using the acquisition method of accounting,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Proficient Auto Logistics, Inc. was the accounting acquirer. The tables below present the consideration transferred and liabilities assumed from the acquisition of the Founding Companies based on the respective fair values as of May 13,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was based upon a preliminary valuation, and the Company’s estimates and assumptions are subject to change within the measurement period (defined as one year following the acquisition date). As a result of further refining its estimates and assumptions since the date of the acquisition, the Company recorded measurement period adjustments to the initial opening balance sheet as shown in the tables below. Adjustments were primarily made to property and equipment, operating lease right-of-use assets, goodwill, and 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Acquisition Date Amounts Recognized as of May 12,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0"/>
        <w:gridCol w:w="60"/>
        <w:gridCol w:w="140"/>
        <w:gridCol w:w="1100"/>
        <w:gridCol w:w="60"/>
        <w:gridCol w:w="60"/>
        <w:gridCol w:w="140"/>
        <w:gridCol w:w="1100"/>
        <w:gridCol w:w="60"/>
        <w:gridCol w:w="60"/>
        <w:gridCol w:w="140"/>
        <w:gridCol w:w="1220"/>
        <w:gridCol w:w="60"/>
        <w:gridCol w:w="60"/>
        <w:gridCol w:w="140"/>
        <w:gridCol w:w="1100"/>
        <w:gridCol w:w="60"/>
        <w:gridCol w:w="60"/>
        <w:gridCol w:w="140"/>
        <w:gridCol w:w="1100"/>
        <w:gridCol w:w="60"/>
        <w:gridCol w:w="60"/>
        <w:gridCol w:w="140"/>
        <w:gridCol w:w="1220"/>
        <w:gridCol w:w="75"/>
      </w:tblGrid>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Delta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Deluxe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Proficient</w:t>
              <w:br/>
              <w:t>Transport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Sierra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Tribeca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b/>
                <w:u w:val="single"/>
              </w:rPr>
            </w:pPr>
            <w:r>
              <w:rPr>
                <w:b/>
                <w:u w:val="single"/>
              </w:rPr>
              <w:t>Purchase consideration</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790" w:type="dxa"/>
            <w:tcBorders/>
            <w:shd w:fill="CCEEFF" w:val="clear"/>
            <w:vAlign w:val="center"/>
          </w:tcPr>
          <w:p>
            <w:pPr>
              <w:pStyle w:val="TableContents"/>
              <w:bidi w:val="0"/>
              <w:spacing w:before="0" w:after="283"/>
              <w:jc w:val="left"/>
              <w:rPr/>
            </w:pPr>
            <w:r>
              <w:rPr/>
              <w:t>Cash consideration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31,580,792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35,597,237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82,185,183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17,442,396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10,685,499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177,491,107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90" w:type="dxa"/>
            <w:tcBorders/>
            <w:shd w:fill="FFFFFF" w:val="clear"/>
            <w:vAlign w:val="center"/>
          </w:tcPr>
          <w:p>
            <w:pPr>
              <w:pStyle w:val="TableContents"/>
              <w:bidi w:val="0"/>
              <w:spacing w:before="0" w:after="283"/>
              <w:jc w:val="left"/>
              <w:rPr/>
            </w:pPr>
            <w:r>
              <w:rPr/>
              <w:t>Stock consideration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32,888,947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20,907,990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26,575,928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13,949,040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9,000,055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103,321,960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90" w:type="dxa"/>
            <w:tcBorders/>
            <w:shd w:fill="CCEEFF" w:val="clear"/>
            <w:vAlign w:val="center"/>
          </w:tcPr>
          <w:p>
            <w:pPr>
              <w:pStyle w:val="TableContents"/>
              <w:bidi w:val="0"/>
              <w:spacing w:before="0" w:after="283"/>
              <w:jc w:val="left"/>
              <w:rPr/>
            </w:pPr>
            <w:r>
              <w:rPr/>
              <w:t>Contingent consideration – earn-out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3,095,114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3,095,114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90" w:type="dxa"/>
            <w:tcBorders/>
            <w:shd w:fill="FFFFFF" w:val="clear"/>
            <w:vAlign w:val="center"/>
          </w:tcPr>
          <w:p>
            <w:pPr>
              <w:pStyle w:val="TableContents"/>
              <w:bidi w:val="0"/>
              <w:spacing w:before="0" w:after="283"/>
              <w:jc w:val="left"/>
              <w:rPr>
                <w:b/>
              </w:rPr>
            </w:pPr>
            <w:r>
              <w:rPr>
                <w:b/>
              </w:rPr>
              <w:t>Total purchase price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64,469,739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59,600,341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108,761,111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31,391,436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19,685,554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283,908,181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b/>
                <w:u w:val="single"/>
              </w:rPr>
            </w:pPr>
            <w:r>
              <w:rPr>
                <w:b/>
                <w:u w:val="single"/>
              </w:rPr>
              <w:t>Allocation of purchase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90" w:type="dxa"/>
            <w:tcBorders/>
            <w:shd w:fill="CCEEFF" w:val="clear"/>
            <w:vAlign w:val="center"/>
          </w:tcPr>
          <w:p>
            <w:pPr>
              <w:pStyle w:val="TableContents"/>
              <w:bidi w:val="0"/>
              <w:spacing w:before="0" w:after="283"/>
              <w:jc w:val="left"/>
              <w:rPr/>
            </w:pPr>
            <w:r>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36,911,739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25,470,641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50,428,659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20,321,662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9,255,115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142,387,816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9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27,558,000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34,129,700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58,332,452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11,069,774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10,430,439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141,520,365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intangible assets as follows:</w:t>
      </w:r>
    </w:p>
    <w:p>
      <w:pPr>
        <w:pStyle w:val="TextBody"/>
        <w:bidi w:val="0"/>
        <w:spacing w:before="0" w:after="0"/>
        <w:ind w:left="0" w:right="0" w:hanging="0"/>
        <w:jc w:val="left"/>
        <w:rPr>
          <w:caps w:val="false"/>
          <w:smallCaps w:val="false"/>
        </w:rPr>
      </w:pPr>
      <w:r>
        <w:rPr>
          <w:caps w:val="false"/>
          <w:smallCaps w:val="false"/>
        </w:rPr>
        <w:t> </w:t>
      </w:r>
    </w:p>
    <w:tbl>
      <w:tblPr>
        <w:tblW w:w="10585" w:type="dxa"/>
        <w:jc w:val="left"/>
        <w:tblInd w:w="0" w:type="dxa"/>
        <w:tblLayout w:type="fixed"/>
        <w:tblCellMar>
          <w:top w:w="0" w:type="dxa"/>
          <w:left w:w="0" w:type="dxa"/>
          <w:bottom w:w="0" w:type="dxa"/>
          <w:right w:w="0" w:type="dxa"/>
        </w:tblCellMar>
      </w:tblPr>
      <w:tblGrid>
        <w:gridCol w:w="1220"/>
        <w:gridCol w:w="60"/>
        <w:gridCol w:w="1130"/>
        <w:gridCol w:w="60"/>
        <w:gridCol w:w="140"/>
        <w:gridCol w:w="1100"/>
        <w:gridCol w:w="60"/>
        <w:gridCol w:w="60"/>
        <w:gridCol w:w="140"/>
        <w:gridCol w:w="1100"/>
        <w:gridCol w:w="60"/>
        <w:gridCol w:w="60"/>
        <w:gridCol w:w="140"/>
        <w:gridCol w:w="1100"/>
        <w:gridCol w:w="60"/>
        <w:gridCol w:w="60"/>
        <w:gridCol w:w="140"/>
        <w:gridCol w:w="1100"/>
        <w:gridCol w:w="60"/>
        <w:gridCol w:w="60"/>
        <w:gridCol w:w="140"/>
        <w:gridCol w:w="980"/>
        <w:gridCol w:w="60"/>
        <w:gridCol w:w="60"/>
        <w:gridCol w:w="140"/>
        <w:gridCol w:w="1220"/>
        <w:gridCol w:w="7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Delta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Deluxe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Proficient</w:t>
              <w:br/>
              <w:t>Transport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Sierra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Tribeca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15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102,500,000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Trade names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10 years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12,400,000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36,900,000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114,900,000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Combinations resulted in $141.5 million of goodwill consisting largely of the expected synergies from combining operations as well as the value of the workforce. As a result of the types of acquisitions in which the Company engaged for the period April 1 to May 12, 2024, asset, stock acquisitions, and stock acquisitions with a 338(h)(10) election made, the Company expects approximately $120.6 million of the total goodwill reported will be tax deductible. During the measurement period, which is up to one year from the acquisition date, the Company may record adjustments to the fair value of assets acquired and liabilities assumed with the corresponding offset to goodwill. At December 31, 2025, the values of the Founding Companies are complete. Any subsequent adjustments will now be recorded to earnings.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2024, PAL Stock Acquiror, Inc. and PAL Merger Sub, LLC, subsidiaries of the Company, executed an Agreement and Plan of Merger (the “Merger Agreement”) with Auto Transport Group, LC, (“ATG,” which was converted to a limited liability company after closing) pursuant to which the Company acquired all of the outstanding equity of ATG to expand the Company’s geographic presence and services offered (which was converted to a limited liability company after closing). ATG provides vehicle transportation and shipping services in the Mountain Western region. The transaction closed on August 15, 2024. The acquisition was accounted for using the acquisition method of accounting,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Proficient Auto Logistics, Inc. was the accounting acquirer, and the Company elected to apply pushdown accounting. The table below presents the consideration transferred and the allocation of the total consideration to tangible and intangible assets acquired and liabilities assumed from the acquisition of ATG based on the respective fair values as of December 31, 2024 as well as the measurement period adjustments recorded as of August 16, 2025:</w:t>
      </w:r>
    </w:p>
    <w:p>
      <w:pPr>
        <w:pStyle w:val="TextBody"/>
        <w:bidi w:val="0"/>
        <w:spacing w:before="0" w:after="0"/>
        <w:ind w:left="0" w:right="0" w:hanging="0"/>
        <w:jc w:val="left"/>
        <w:rPr>
          <w:caps w:val="false"/>
          <w:smallCaps w:val="false"/>
        </w:rPr>
      </w:pPr>
      <w:r>
        <w:rPr>
          <w:caps w:val="false"/>
          <w:smallCaps w:val="false"/>
        </w:rPr>
        <w:t>  </w:t>
      </w:r>
    </w:p>
    <w:tbl>
      <w:tblPr>
        <w:tblW w:w="7394" w:type="dxa"/>
        <w:jc w:val="left"/>
        <w:tblInd w:w="0" w:type="dxa"/>
        <w:tblLayout w:type="fixed"/>
        <w:tblCellMar>
          <w:top w:w="0" w:type="dxa"/>
          <w:left w:w="0" w:type="dxa"/>
          <w:bottom w:w="0" w:type="dxa"/>
          <w:right w:w="0" w:type="dxa"/>
        </w:tblCellMar>
      </w:tblPr>
      <w:tblGrid>
        <w:gridCol w:w="3050"/>
        <w:gridCol w:w="60"/>
        <w:gridCol w:w="165"/>
        <w:gridCol w:w="1309"/>
        <w:gridCol w:w="60"/>
        <w:gridCol w:w="60"/>
        <w:gridCol w:w="78"/>
        <w:gridCol w:w="1142"/>
        <w:gridCol w:w="95"/>
        <w:gridCol w:w="60"/>
        <w:gridCol w:w="140"/>
        <w:gridCol w:w="1100"/>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16,</w:t>
              <w:br/>
              <w:t>2025</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b/>
                <w:u w:val="single"/>
              </w:rPr>
            </w:pPr>
            <w:r>
              <w:rPr>
                <w:b/>
                <w:u w:val="single"/>
              </w:rPr>
              <w:t>Purchase consideration</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Cash consideration paid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28,938,295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28,438,295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50" w:type="dxa"/>
            <w:tcBorders/>
            <w:shd w:fill="FFFFFF" w:val="clear"/>
            <w:vAlign w:val="center"/>
          </w:tcPr>
          <w:p>
            <w:pPr>
              <w:pStyle w:val="TableContents"/>
              <w:bidi w:val="0"/>
              <w:spacing w:before="0" w:after="283"/>
              <w:jc w:val="left"/>
              <w:rPr/>
            </w:pPr>
            <w:r>
              <w:rPr/>
              <w:t>Stock consideration issued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20,542,136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20,542,136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Total purchase price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49,480,431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48,980,431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b/>
                <w:u w:val="single"/>
              </w:rPr>
            </w:pPr>
            <w:r>
              <w:rPr>
                <w:b/>
                <w:u w:val="single"/>
              </w:rPr>
              <w:t>Allocation of purchase price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50" w:type="dxa"/>
            <w:tcBorders/>
            <w:shd w:fill="FFFFFF" w:val="clear"/>
            <w:vAlign w:val="center"/>
          </w:tcPr>
          <w:p>
            <w:pPr>
              <w:pStyle w:val="TableContents"/>
              <w:bidi w:val="0"/>
              <w:spacing w:before="0" w:after="283"/>
              <w:jc w:val="left"/>
              <w:rPr/>
            </w:pPr>
            <w:r>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309" w:type="dxa"/>
            <w:tcBorders/>
            <w:shd w:fill="FFFFFF" w:val="clear"/>
            <w:vAlign w:val="center"/>
          </w:tcPr>
          <w:p>
            <w:pPr>
              <w:pStyle w:val="TableContents"/>
              <w:bidi w:val="0"/>
              <w:spacing w:before="0" w:after="283"/>
              <w:jc w:val="right"/>
              <w:rPr/>
            </w:pPr>
            <w:r>
              <w:rPr/>
              <w:t>24,886,502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218,438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25,104,940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24,593,929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(718,438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23,875,491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intangible assets as follows:</w:t>
      </w:r>
    </w:p>
    <w:p>
      <w:pPr>
        <w:pStyle w:val="TextBody"/>
        <w:bidi w:val="0"/>
        <w:spacing w:before="0" w:after="0"/>
        <w:ind w:left="0" w:right="0" w:firstLine="720"/>
        <w:jc w:val="both"/>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2195"/>
        <w:gridCol w:w="60"/>
        <w:gridCol w:w="1130"/>
        <w:gridCol w:w="60"/>
        <w:gridCol w:w="140"/>
        <w:gridCol w:w="110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Auto</w:t>
              <w:br/>
              <w:t>Transport</w:t>
              <w:br/>
              <w:t>Group</w:t>
            </w:r>
          </w:p>
        </w:tc>
        <w:tc>
          <w:tcPr>
            <w:tcW w:w="75" w:type="dxa"/>
            <w:tcBorders/>
            <w:vAlign w:val="center"/>
          </w:tcPr>
          <w:p>
            <w:pPr>
              <w:pStyle w:val="TableContents"/>
              <w:bidi w:val="0"/>
              <w:spacing w:before="0" w:after="283"/>
              <w:ind w:left="0" w:right="0" w:hanging="180"/>
              <w:jc w:val="left"/>
              <w:rPr/>
            </w:pPr>
            <w:r>
              <w:rPr/>
              <w:t> </w:t>
            </w:r>
          </w:p>
        </w:tc>
      </w:tr>
      <w:tr>
        <w:trPr/>
        <w:tc>
          <w:tcPr>
            <w:tcW w:w="219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15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22,200,000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95" w:type="dxa"/>
            <w:tcBorders/>
            <w:shd w:fill="FFFFFF" w:val="clear"/>
            <w:vAlign w:val="center"/>
          </w:tcPr>
          <w:p>
            <w:pPr>
              <w:pStyle w:val="TableContents"/>
              <w:bidi w:val="0"/>
              <w:spacing w:before="0" w:after="283"/>
              <w:jc w:val="left"/>
              <w:rPr/>
            </w:pPr>
            <w:r>
              <w:rPr/>
              <w:t>Trade names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10 years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9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23,300,000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ATG resulted in $23.9 million of goodwill, consisting largely of the expected synergies from combining operations, as well as the value of the workforce. In this asset acquisition, no portion of the total goodwill reported will be tax deductible. During the measurement period, which is up to one year from the acquisition date, the Company may record adjustments to the fair value of assets acquired and liabilities assumed with the corresponding offset to goodwill. At December 31, 2025, the value of ATG acquisition is complete. Any subsequent adjustments will now be recorded to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Utah Truck &amp; Trailer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 2024, PAL Stock Acquiror, Inc. purchased Utah Truck &amp; Trailer Repair, LLC, (“UTT”), a repair facility located at the ATG headquarters terminal in Ogden, Utah. In February 2025, UTT was renamed to Proficient Repairs Services, LLC. The Company purchased UTT for $4,515,004 in an all-cash transaction to expand the Company’s ability to maintain its revenue generating fleet in the Western region of the country. In connection with this acquisition, the Company recognized $155,458 in net tangible assets and $4,359,546 in goodwill consisting largely of the expected synergies from combining operations as well as the value of the workforce. As a result of this asset acquisition, the Company expects all of the goodwill reported will be tax deductible. At December 31, 2025, the value of UTT acquisition is complete. Any subsequent adjustments will now be recorded to earnings.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Brothers Auto Transport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PAL Stock Acquiror, Inc. purchased all the outstanding equity of Brothers Auto Transport, LLC, (“Brothers”), which provides vehicle transportation and shipping services in the Northeast and MidAtlantic regions of the country. Brothers was purchased for $12,448,011, a combination of cash and stock. In connection with this acquisition, the Company recognized $6,507,610 in net tangible assets which includes $6,338,899 in equipment notes, and $2,220,000 in intangible assets and $3,720,401 in goodwill consisting largely of the expected synergies from combining operations as well as the value of the workforce. As a result of this acquisition, the Company expects all of the goodwill reported will be tax deductible. At June 30, 2026, the value of Brothers acquisition is complete. Any subsequent adjustments will now be recorded to earnings.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PVT Truck and Trailer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27, 2025, Proficient Repairs Services, LLC purchased PVT Truck &amp; Trailer Repair, LLC, (“PVT”), a repair facility located at the Brothers headquarters terminal in Wind Gap, Pennsylvania. The Company purchased PVT for $1,032,995 in an all-cash transaction to expand the Company’s ability to maintain its revenue generating fleet in the Northeast and MidAtlantic regions of the country. In connection with this acquisition, the Company recognized $310,129 in net tangible assets and $722,866 in goodwill consisting largely of the expected synergies from combining operations as well as the value of the workforce. As a result of this asset acquisition, the Company expects all of the goodwill reported will be tax deductible. At June 30, 2026, the value of PVT acquisition is complete. Any subsequent adjustments will now be recorded to earnings.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evaluated for impairment annually as of November 30, or more frequently if an event occurs or circumstances change that would more likely than not reduce the fair value of a reporting unit below its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30, 2025, the Company completed a quantitative impairment analysis for goodwill related to its Company Drivers and Subhauler reporting units during its annual assessment. Based on this analysis, the Company recognized goodwill impairment of $25.6 million within its Subhauler reporting unit, reflected in Goodwill &amp; Intangibles Impairment within the consolidated statements of operations. Downward revisions to forecasts in the analysis were the primary reason for the impairment charge. As of November 30, 2025, the Company believes the carrying value of the Subhauler reporting unit approximates its fair value. As of November 30, 2025, the carrying value of goodwill within the Subhauler reporting unit was $57.8 million.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impairment analyses, fair value of the reporting units were determined using both the income and market approach. The income approach requires management to estimate a number of factors, including the projected future operating results, economic projections, anticipated future cash flow and discount rates. The market approach estimates fair value using comparable marketplace fair value data from within a comparable industry grouping as well as recent guideline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fair value of the reporting unit requires the Company to make significant estimates and assumptions related to the business and financial performance of the Company’s reporting units. These estimates and assumptions primarily include but are not limited to, the selection of appropriate peer group companies, control premiums appropriate for acquisitions in the industry in which the Company competes, discount rates, terminal growth rates, forecasts of revenue, operating income, depreciation, amortization, working capital requirements and capital expenditures. Future increases in discount rates or deterioration in the observable prices for guideline companies could result in further goodwill impairment in subsequent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goodwill and allocation to reportable segment are as follows:</w:t>
      </w:r>
    </w:p>
    <w:p>
      <w:pPr>
        <w:pStyle w:val="TextBody"/>
        <w:bidi w:val="0"/>
        <w:spacing w:before="0" w:after="0"/>
        <w:ind w:left="720" w:right="0" w:hanging="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2915"/>
        <w:gridCol w:w="60"/>
        <w:gridCol w:w="140"/>
        <w:gridCol w:w="1100"/>
        <w:gridCol w:w="95"/>
        <w:gridCol w:w="60"/>
        <w:gridCol w:w="140"/>
        <w:gridCol w:w="1175"/>
        <w:gridCol w:w="95"/>
        <w:gridCol w:w="60"/>
        <w:gridCol w:w="140"/>
        <w:gridCol w:w="1220"/>
        <w:gridCol w:w="110"/>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Company</w:t>
              <w:br/>
              <w:t>Drivers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Subhaulers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Balance –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87,434,455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81,622,220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169,056,675</w:t>
            </w:r>
          </w:p>
        </w:tc>
        <w:tc>
          <w:tcPr>
            <w:tcW w:w="11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3,391,969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884,032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4,276,001</w:t>
            </w:r>
          </w:p>
        </w:tc>
        <w:tc>
          <w:tcPr>
            <w:tcW w:w="11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Adjustments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(121,280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820,011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698,731</w:t>
            </w:r>
          </w:p>
        </w:tc>
        <w:tc>
          <w:tcPr>
            <w:tcW w:w="11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Impairment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(25,555,000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(25,555,000</w:t>
            </w:r>
          </w:p>
        </w:tc>
        <w:tc>
          <w:tcPr>
            <w:tcW w:w="110" w:type="dxa"/>
            <w:tcBorders/>
            <w:shd w:fill="FFFFFF" w:val="clear"/>
            <w:vAlign w:val="center"/>
          </w:tcPr>
          <w:p>
            <w:pPr>
              <w:pStyle w:val="TableContents"/>
              <w:bidi w:val="0"/>
              <w:spacing w:before="0" w:after="283"/>
              <w:jc w:val="left"/>
              <w:rPr/>
            </w:pPr>
            <w:r>
              <w:rPr/>
              <w:t>)</w:t>
            </w:r>
          </w:p>
        </w:tc>
      </w:tr>
      <w:tr>
        <w:trPr/>
        <w:tc>
          <w:tcPr>
            <w:tcW w:w="29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90,705,144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57,771,263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148,476,407</w:t>
            </w:r>
          </w:p>
        </w:tc>
        <w:tc>
          <w:tcPr>
            <w:tcW w:w="11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142,176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167,266</w:t>
            </w:r>
          </w:p>
        </w:tc>
        <w:tc>
          <w:tcPr>
            <w:tcW w:w="11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Balance –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90,847,320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57,796,353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148,643,673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 net</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2195"/>
        <w:gridCol w:w="60"/>
        <w:gridCol w:w="140"/>
        <w:gridCol w:w="1220"/>
        <w:gridCol w:w="60"/>
        <w:gridCol w:w="60"/>
        <w:gridCol w:w="145"/>
        <w:gridCol w:w="1225"/>
        <w:gridCol w:w="95"/>
        <w:gridCol w:w="60"/>
        <w:gridCol w:w="140"/>
        <w:gridCol w:w="122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2026</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br/>
              <w:t>carrying</w:t>
              <w:br/>
              <w:t>amount</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124,577,000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(17,439,905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107,137,095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Trade names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13,717,000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(2,878,708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10,838,292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138,294,000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(20,318,613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117,975,387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2195"/>
        <w:gridCol w:w="60"/>
        <w:gridCol w:w="140"/>
        <w:gridCol w:w="1220"/>
        <w:gridCol w:w="60"/>
        <w:gridCol w:w="60"/>
        <w:gridCol w:w="145"/>
        <w:gridCol w:w="1225"/>
        <w:gridCol w:w="95"/>
        <w:gridCol w:w="60"/>
        <w:gridCol w:w="140"/>
        <w:gridCol w:w="122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br/>
              <w:t>and</w:t>
              <w:b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br/>
              <w:t>carrying</w:t>
              <w:br/>
              <w:t>amount</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126,703,000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(15,422,261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111,280,739</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Trade names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13,717,000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(2,192,848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11,524,152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140,420,000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(17,615,109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122,804,891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amortization expenses related to Customer relationships of $4,143,644, $2,071,826, $4,190,050, and $2,111,720 in the condensed consolidated statements of operations for the six and three months ended June 30, 2026 and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amortization expenses related to Trade names of $685,860, $342,925, $680,421, and $342,921 in the condensed consolidated statements of operations for the six and three months ended June 30, 2026 and 2025,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expected amortization expense associated with the Company’s identifiable intangible assets with estimable useful lives over the next five years was as follows:</w:t>
      </w:r>
    </w:p>
    <w:p>
      <w:pPr>
        <w:pStyle w:val="TextBody"/>
        <w:bidi w:val="0"/>
        <w:spacing w:before="0" w:after="0"/>
        <w:ind w:left="0" w:right="0" w:hanging="0"/>
        <w:jc w:val="left"/>
        <w:rPr>
          <w:caps w:val="false"/>
          <w:smallCaps w:val="false"/>
        </w:rPr>
      </w:pPr>
      <w:r>
        <w:rPr>
          <w:caps w:val="false"/>
          <w:smallCaps w:val="false"/>
        </w:rPr>
        <w:t> </w:t>
      </w:r>
    </w:p>
    <w:tbl>
      <w:tblPr>
        <w:tblW w:w="2505" w:type="dxa"/>
        <w:jc w:val="left"/>
        <w:tblInd w:w="0" w:type="dxa"/>
        <w:tblLayout w:type="fixed"/>
        <w:tblCellMar>
          <w:top w:w="0" w:type="dxa"/>
          <w:left w:w="0" w:type="dxa"/>
          <w:bottom w:w="0" w:type="dxa"/>
          <w:right w:w="0" w:type="dxa"/>
        </w:tblCellMar>
      </w:tblPr>
      <w:tblGrid>
        <w:gridCol w:w="1010"/>
        <w:gridCol w:w="60"/>
        <w:gridCol w:w="140"/>
        <w:gridCol w:w="1220"/>
        <w:gridCol w:w="75"/>
      </w:tblGrid>
      <w:tr>
        <w:trPr/>
        <w:tc>
          <w:tcPr>
            <w:tcW w:w="10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4,829,504</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9,658,998</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9,658,998</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9,658,998</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9,658,998</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74,509,891</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117,975,387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weighted average amortization period for all intangible assets was 12.5 years, with 12.9 years for Customer relationships and 7.9 years for Trade names.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at cost, consist of the following as of:</w:t>
      </w:r>
    </w:p>
    <w:p>
      <w:pPr>
        <w:pStyle w:val="TextBody"/>
        <w:bidi w:val="0"/>
        <w:spacing w:before="0" w:after="0"/>
        <w:ind w:left="0" w:right="0" w:firstLine="720"/>
        <w:jc w:val="both"/>
        <w:rPr>
          <w:caps w:val="false"/>
          <w:smallCaps w:val="false"/>
        </w:rPr>
      </w:pPr>
      <w:r>
        <w:rPr>
          <w:caps w:val="false"/>
          <w:smallCaps w:val="false"/>
        </w:rPr>
        <w:t> </w:t>
      </w:r>
    </w:p>
    <w:tbl>
      <w:tblPr>
        <w:tblW w:w="7724" w:type="dxa"/>
        <w:jc w:val="left"/>
        <w:tblInd w:w="0" w:type="dxa"/>
        <w:tblLayout w:type="fixed"/>
        <w:tblCellMar>
          <w:top w:w="0" w:type="dxa"/>
          <w:left w:w="0" w:type="dxa"/>
          <w:bottom w:w="0" w:type="dxa"/>
          <w:right w:w="0" w:type="dxa"/>
        </w:tblCellMar>
      </w:tblPr>
      <w:tblGrid>
        <w:gridCol w:w="4565"/>
        <w:gridCol w:w="60"/>
        <w:gridCol w:w="140"/>
        <w:gridCol w:w="1220"/>
        <w:gridCol w:w="95"/>
        <w:gridCol w:w="60"/>
        <w:gridCol w:w="151"/>
        <w:gridCol w:w="1323"/>
        <w:gridCol w:w="110"/>
      </w:tblGrid>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2,220,000</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Buildings and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1,599,691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1,715,459</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304,535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306,705</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1,201,048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1,176,430</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Software and 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1,215,332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1,156,458</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Transportation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152,144,327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FFFFFF" w:val="clear"/>
            <w:tcMar>
              <w:bottom w:w="28" w:type="dxa"/>
            </w:tcMar>
            <w:vAlign w:val="center"/>
          </w:tcPr>
          <w:p>
            <w:pPr>
              <w:pStyle w:val="TableContents"/>
              <w:bidi w:val="0"/>
              <w:spacing w:before="0" w:after="283"/>
              <w:jc w:val="right"/>
              <w:rPr/>
            </w:pPr>
            <w:r>
              <w:rPr/>
              <w:t>152,775,053</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158,684,933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159,350,105</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Less accumulated amortization and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(55,772,844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FFFFFF" w:val="clear"/>
            <w:tcMar>
              <w:bottom w:w="28" w:type="dxa"/>
            </w:tcMar>
            <w:vAlign w:val="center"/>
          </w:tcPr>
          <w:p>
            <w:pPr>
              <w:pStyle w:val="TableContents"/>
              <w:bidi w:val="0"/>
              <w:spacing w:before="0" w:after="283"/>
              <w:jc w:val="right"/>
              <w:rPr/>
            </w:pPr>
            <w:r>
              <w:rPr/>
              <w:t>(43,500,044</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b/>
              </w:rPr>
            </w:pPr>
            <w:r>
              <w:rPr>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102,912,089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shd w:fill="CCEEFF" w:val="clear"/>
            <w:tcMar>
              <w:bottom w:w="28" w:type="dxa"/>
            </w:tcMar>
            <w:vAlign w:val="center"/>
          </w:tcPr>
          <w:p>
            <w:pPr>
              <w:pStyle w:val="TableContents"/>
              <w:bidi w:val="0"/>
              <w:spacing w:before="0" w:after="283"/>
              <w:jc w:val="right"/>
              <w:rPr/>
            </w:pPr>
            <w:r>
              <w:rPr/>
              <w:t>115,850,061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depreciation expense of $14,778,246, $7,171,240, $14,135,559, and $7,646,980 in the condensed consolidated statements of operations for the six and three months ended June 30, 2026 and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gain (loss) on the disposal of equipment of ($41,047), ($51,310), $226,314, and $235,095 in the condensed consolidated statements of operations for the six and three months ended June 30, 2026 and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Accrued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consist of the following as of:</w:t>
      </w:r>
    </w:p>
    <w:p>
      <w:pPr>
        <w:pStyle w:val="TextBody"/>
        <w:bidi w:val="0"/>
        <w:spacing w:before="0" w:after="0"/>
        <w:ind w:left="0" w:right="0" w:firstLine="720"/>
        <w:jc w:val="both"/>
        <w:rPr>
          <w:caps w:val="false"/>
          <w:smallCaps w:val="false"/>
        </w:rPr>
      </w:pPr>
      <w:r>
        <w:rPr>
          <w:caps w:val="false"/>
          <w:smallCaps w:val="false"/>
        </w:rPr>
        <w:t> </w:t>
      </w:r>
    </w:p>
    <w:tbl>
      <w:tblPr>
        <w:tblW w:w="6799" w:type="dxa"/>
        <w:jc w:val="left"/>
        <w:tblInd w:w="0" w:type="dxa"/>
        <w:tblLayout w:type="fixed"/>
        <w:tblCellMar>
          <w:top w:w="0" w:type="dxa"/>
          <w:left w:w="0" w:type="dxa"/>
          <w:bottom w:w="0" w:type="dxa"/>
          <w:right w:w="0" w:type="dxa"/>
        </w:tblCellMar>
      </w:tblPr>
      <w:tblGrid>
        <w:gridCol w:w="3830"/>
        <w:gridCol w:w="60"/>
        <w:gridCol w:w="140"/>
        <w:gridCol w:w="1100"/>
        <w:gridCol w:w="60"/>
        <w:gridCol w:w="60"/>
        <w:gridCol w:w="166"/>
        <w:gridCol w:w="1308"/>
        <w:gridCol w:w="75"/>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Deferred leased to purchase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9,402,792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8,497,950</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Claims, insurance and litigation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7,460,774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10,758,083</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Salaries, wages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4,889,442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3,779,342</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Owner operator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2,342,810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2,504,336</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Accrued purchased transportation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1,983,092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3,351,017</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Escrow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994,013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994,012</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1,520,465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pPr>
            <w:r>
              <w:rPr/>
              <w:t>3,145,261</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28,593,388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8" w:type="dxa"/>
            <w:tcBorders>
              <w:bottom w:val="double" w:sz="10" w:space="0" w:color="000000"/>
            </w:tcBorders>
            <w:shd w:fill="FFFFFF" w:val="clear"/>
            <w:tcMar>
              <w:bottom w:w="28" w:type="dxa"/>
            </w:tcMar>
            <w:vAlign w:val="center"/>
          </w:tcPr>
          <w:p>
            <w:pPr>
              <w:pStyle w:val="TableContents"/>
              <w:bidi w:val="0"/>
              <w:spacing w:before="0" w:after="283"/>
              <w:jc w:val="right"/>
              <w:rPr/>
            </w:pPr>
            <w:r>
              <w:rPr/>
              <w:t>33,030,001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tax rates for the six and three months ended June 30, 2026 and June 30, 2025 were 20.2%, 17.8%, 17.9% and 17.3%, respectively. The effective rates differ from the statutory rates primarily due to state tax adjustments, state minimum taxes, and permanent differences such as disallowed stock-based compensation.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no uncertain tax positions.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8, 2024, Proficient entered into a credit facility with a commercial bank that includes up to $25 million in term debt and up to another $20 million in a revolving line of credit with a maturity date of November 8, 2029. The term debt portion bears interest at the Secured Overnight Financing Rate (“SOFR”), plus 2.50%, with interest only payments for the first six months and the balance at the end of six months with principal amortizing over the ensuing five years with 60 monthly payments. Drawn balances from the revolving line of credit bear interest at SOFR, plus 2.20%, with all principal and interest to be repaid at the end of five years. The amount available to be drawn from the line of credit at any point in time is based on a percentage of consolidated accounts receivable and inventory reported by Proficient and its subsidiaries subject to certain conditions, including limitations on the aging of invoices over 90 days, and maximum customer concentration. The amount available to be drawn under the line of credit was $13.3 million on June 30, 2026. The term debt includes financial covenants that include maximum leverage (debt / adjusted EBITDA) and debt service coverage ratio (total principal and interest / adjusted EBITDA). As of June 30, 2026, Proficient was in compliance with its debt covenants. Collateral for the facility includes Accounts Receivable balances owed to the Company and truck maintenance inventory. Upon closing of the credit facility, the Company drew $16.0 million from the available term debt, a portion of which was used to repay and terminate the Proficient Transport line of credit. In April 2025, the Company drew an additional $9 million from the available term debt to fund the cash portion of the acquisition of Brothers. At June 30, 2026, the outstanding borrowings under the revolving line of credit were $6.7 million and the outstanding principal balance of the term debt was $19.5 million.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Long-term debt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7"/>
        <w:gridCol w:w="60"/>
        <w:gridCol w:w="140"/>
        <w:gridCol w:w="1175"/>
        <w:gridCol w:w="95"/>
        <w:gridCol w:w="60"/>
        <w:gridCol w:w="150"/>
        <w:gridCol w:w="1265"/>
        <w:gridCol w:w="83"/>
      </w:tblGrid>
      <w:tr>
        <w:trPr/>
        <w:tc>
          <w:tcPr>
            <w:tcW w:w="7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3" w:type="dxa"/>
            <w:tcBorders/>
            <w:vAlign w:val="center"/>
          </w:tcPr>
          <w:p>
            <w:pPr>
              <w:pStyle w:val="TableContents"/>
              <w:bidi w:val="0"/>
              <w:spacing w:before="0" w:after="283"/>
              <w:ind w:left="0" w:right="0" w:hanging="180"/>
              <w:jc w:val="left"/>
              <w:rPr/>
            </w:pPr>
            <w:r>
              <w:rPr/>
              <w:t> </w:t>
            </w:r>
          </w:p>
        </w:tc>
      </w:tr>
      <w:tr>
        <w:trPr/>
        <w:tc>
          <w:tcPr>
            <w:tcW w:w="7177" w:type="dxa"/>
            <w:tcBorders/>
            <w:shd w:fill="CCEEFF" w:val="clear"/>
            <w:vAlign w:val="center"/>
          </w:tcPr>
          <w:p>
            <w:pPr>
              <w:pStyle w:val="TableContents"/>
              <w:bidi w:val="0"/>
              <w:spacing w:before="0" w:after="283"/>
              <w:jc w:val="left"/>
              <w:rPr/>
            </w:pPr>
            <w:r>
              <w:rPr/>
              <w:t>Equipment and vehicle notes payable to financial institutions, requiring monthly principal and interest payments totaling $1,493,284. The notes bear interest ranging from 3.85% to 10.77%, mature between August 2026 and November 2031, and are secured by the Company’s transportation equipment and 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44,671,109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52,595,562</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177" w:type="dxa"/>
            <w:tcBorders/>
            <w:shd w:fill="CCEEFF" w:val="clear"/>
            <w:vAlign w:val="center"/>
          </w:tcPr>
          <w:p>
            <w:pPr>
              <w:pStyle w:val="TableContents"/>
              <w:bidi w:val="0"/>
              <w:spacing w:before="0" w:after="283"/>
              <w:jc w:val="left"/>
              <w:rPr/>
            </w:pPr>
            <w:r>
              <w:rPr/>
              <w:t>Term Debt to Pinnacle Bank, requiring principal payments of $415,255 per month commencing June 2025. The notes bear interest at SOFR (Currently 3.62%) +2.5% margin per month and mature April 2031</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19,520,002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22,011,534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64,191,111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74,607,096</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177" w:type="dxa"/>
            <w:tcBorders/>
            <w:shd w:fill="CCEEFF" w:val="clear"/>
            <w:vAlign w:val="center"/>
          </w:tcPr>
          <w:p>
            <w:pPr>
              <w:pStyle w:val="TableContents"/>
              <w:bidi w:val="0"/>
              <w:spacing w:before="0" w:after="283"/>
              <w:jc w:val="left"/>
              <w:rPr/>
            </w:pPr>
            <w:r>
              <w:rPr/>
              <w:t>Less: unamortized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(446,579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(277,051</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7177" w:type="dxa"/>
            <w:tcBorders/>
            <w:shd w:fill="FFFFFF" w:val="clear"/>
            <w:vAlign w:val="center"/>
          </w:tcPr>
          <w:p>
            <w:pPr>
              <w:pStyle w:val="TableContents"/>
              <w:bidi w:val="0"/>
              <w:spacing w:before="0" w:after="283"/>
              <w:jc w:val="left"/>
              <w:rPr/>
            </w:pPr>
            <w:r>
              <w:rPr/>
              <w:t>Less: current maturities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(19,162,469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(20,303,077</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7177" w:type="dxa"/>
            <w:tcBorders/>
            <w:shd w:fill="CCEEFF" w:val="clear"/>
            <w:vAlign w:val="center"/>
          </w:tcPr>
          <w:p>
            <w:pPr>
              <w:pStyle w:val="TableContents"/>
              <w:bidi w:val="0"/>
              <w:spacing w:before="0" w:after="283"/>
              <w:jc w:val="left"/>
              <w:rPr>
                <w:b/>
              </w:rPr>
            </w:pPr>
            <w:r>
              <w:rPr>
                <w:b/>
              </w:rPr>
              <w:t>Total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44,582,063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54,026,968</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osition w:val="8"/>
                <w:sz w:val="19"/>
              </w:rPr>
            </w:pPr>
            <w:r>
              <w:rPr>
                <w:position w:val="8"/>
                <w:sz w:val="19"/>
              </w:rPr>
              <w:t>(1)</w:t>
            </w:r>
          </w:p>
        </w:tc>
        <w:tc>
          <w:tcPr>
            <w:tcW w:w="9980" w:type="dxa"/>
            <w:tcBorders/>
            <w:vAlign w:val="center"/>
          </w:tcPr>
          <w:p>
            <w:pPr>
              <w:pStyle w:val="TableContents"/>
              <w:bidi w:val="0"/>
              <w:spacing w:before="0" w:after="283"/>
              <w:jc w:val="both"/>
              <w:rPr/>
            </w:pPr>
            <w:r>
              <w:rPr/>
              <w:t>The Term Loan and Line of Credit includes financial covenants comprised of maximum leverage (debt / adjusted EBITDA) and debt service coverage ratio (total principal and interest / adjusted EBITDA), both measured quarterly.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maturities of long-term debt are as follows:</w:t>
      </w:r>
    </w:p>
    <w:p>
      <w:pPr>
        <w:pStyle w:val="TextBody"/>
        <w:bidi w:val="0"/>
        <w:spacing w:before="0" w:after="0"/>
        <w:ind w:left="0" w:right="0" w:firstLine="720"/>
        <w:jc w:val="both"/>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3305"/>
        <w:gridCol w:w="60"/>
        <w:gridCol w:w="140"/>
        <w:gridCol w:w="1100"/>
        <w:gridCol w:w="75"/>
      </w:tblGrid>
      <w:tr>
        <w:trPr/>
        <w:tc>
          <w:tcPr>
            <w:tcW w:w="3305" w:type="dxa"/>
            <w:tcBorders/>
            <w:vAlign w:val="center"/>
          </w:tcPr>
          <w:p>
            <w:pPr>
              <w:pStyle w:val="TableContents"/>
              <w:bidi w:val="0"/>
              <w:spacing w:before="0" w:after="283"/>
              <w:jc w:val="left"/>
              <w:rPr>
                <w:b/>
              </w:rPr>
            </w:pPr>
            <w:r>
              <w:rPr>
                <w:b/>
              </w:rPr>
              <w:t>For the quarter ending June 30:</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9,797,756</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18,253,092</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16,329,476</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13,691,967</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2030 and 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6,118,820</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64,191,111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capitalized debt issuance costs of $200,000 during the six and three month periods ended June 30, 2026. No debt issuance costs were capitalized during the corresponding periods ended June 30,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amortization expense related to debt issuance costs of $30,470 and $37,885 in the condensed consolidated statements of operations for the six months ended June 30, 2026 and 2025, respectively, and $15,235 and $18,971 for the three months ended June 30, 2026 and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Lessee </w:t>
      </w:r>
      <w:r>
        <w:rPr>
          <w:rFonts w:ascii="Times New Roman;Times;Serif" w:hAnsi="Times New Roman;Times;Serif"/>
          <w:b w:val="false"/>
          <w:i w:val="false"/>
          <w:caps w:val="false"/>
          <w:smallCaps w:val="false"/>
          <w:sz w:val="20"/>
        </w:rPr>
        <w:t>— The following table presents certain information related to lease costs for finance and operating leases as of:</w:t>
      </w:r>
    </w:p>
    <w:p>
      <w:pPr>
        <w:pStyle w:val="TextBody"/>
        <w:bidi w:val="0"/>
        <w:spacing w:before="0" w:after="0"/>
        <w:ind w:left="0" w:right="0" w:firstLine="72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3410"/>
        <w:gridCol w:w="60"/>
        <w:gridCol w:w="143"/>
        <w:gridCol w:w="1002"/>
        <w:gridCol w:w="60"/>
        <w:gridCol w:w="60"/>
        <w:gridCol w:w="180"/>
        <w:gridCol w:w="1265"/>
        <w:gridCol w:w="60"/>
        <w:gridCol w:w="60"/>
        <w:gridCol w:w="143"/>
        <w:gridCol w:w="1002"/>
        <w:gridCol w:w="60"/>
        <w:gridCol w:w="60"/>
        <w:gridCol w:w="180"/>
        <w:gridCol w:w="1265"/>
        <w:gridCol w:w="75"/>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75" w:type="dxa"/>
            <w:tcBorders/>
            <w:vAlign w:val="center"/>
          </w:tcPr>
          <w:p>
            <w:pPr>
              <w:pStyle w:val="TableContents"/>
              <w:bidi w:val="0"/>
              <w:spacing w:before="0" w:after="283"/>
              <w:ind w:left="0" w:right="0" w:hanging="360"/>
              <w:jc w:val="left"/>
              <w:rPr/>
            </w:pPr>
            <w:r>
              <w:rPr/>
              <w:t> </w:t>
            </w:r>
          </w:p>
        </w:tc>
      </w:tr>
      <w:tr>
        <w:trPr/>
        <w:tc>
          <w:tcPr>
            <w:tcW w:w="341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1,660,400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828,486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1,364,902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695,410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3410" w:type="dxa"/>
            <w:tcBorders/>
            <w:shd w:fill="FFFFFF" w:val="clear"/>
            <w:vAlign w:val="center"/>
          </w:tcPr>
          <w:p>
            <w:pPr>
              <w:pStyle w:val="TableContents"/>
              <w:bidi w:val="0"/>
              <w:spacing w:before="0" w:after="283"/>
              <w:jc w:val="left"/>
              <w:rPr/>
            </w:pPr>
            <w:r>
              <w:rPr/>
              <w:t>Finance lease costs: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3410" w:type="dxa"/>
            <w:tcBorders/>
            <w:shd w:fill="CCEEFF" w:val="clear"/>
            <w:vAlign w:val="center"/>
          </w:tcPr>
          <w:p>
            <w:pPr>
              <w:pStyle w:val="TableContents"/>
              <w:bidi w:val="0"/>
              <w:spacing w:before="0" w:after="283"/>
              <w:jc w:val="left"/>
              <w:rPr/>
            </w:pPr>
            <w:r>
              <w:rPr/>
              <w:t>Amortization of finance lease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5,707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34,341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17,170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3410"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4,815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2,083</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3410" w:type="dxa"/>
            <w:tcBorders/>
            <w:shd w:fill="CCEEFF" w:val="clear"/>
            <w:vAlign w:val="center"/>
          </w:tcPr>
          <w:p>
            <w:pPr>
              <w:pStyle w:val="TableContents"/>
              <w:bidi w:val="0"/>
              <w:spacing w:before="0" w:after="283"/>
              <w:jc w:val="left"/>
              <w:rPr/>
            </w:pPr>
            <w:r>
              <w:rPr/>
              <w:t>Short-term lease costs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615,792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443,759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600,582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340,198</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3410" w:type="dxa"/>
            <w:tcBorders/>
            <w:shd w:fill="FFFFFF" w:val="clear"/>
            <w:vAlign w:val="center"/>
          </w:tcPr>
          <w:p>
            <w:pPr>
              <w:pStyle w:val="TableContents"/>
              <w:bidi w:val="0"/>
              <w:spacing w:before="0" w:after="283"/>
              <w:jc w:val="left"/>
              <w:rPr>
                <w:b/>
              </w:rPr>
            </w:pPr>
            <w:r>
              <w:rPr>
                <w:b/>
              </w:rPr>
              <w:t>Total lease costs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2,281,983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pPr>
            <w:r>
              <w:rPr/>
              <w:t>1,272,245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2,004,640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pPr>
            <w:r>
              <w:rPr/>
              <w:t>1,054,861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2025, the weighted-average discount rate for operating leases was 6.96% and 6.88%, respectively and the weighted-average remaining lease term was 7.9 and 7.3 years,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finance leases matured during the quarter ended March 31, 2026. Accordingly, as of June 30, 2026, no finance lease liabilities remained outstanding. As of June 30, 2025, the weighted-average discount rate for finance leases was 12.08%, and the weighted-average remaining lease term was 0.5 years.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future maturities of the lease liabilities were as follows: </w:t>
      </w:r>
    </w:p>
    <w:p>
      <w:pPr>
        <w:pStyle w:val="TextBody"/>
        <w:bidi w:val="0"/>
        <w:spacing w:before="0" w:after="0"/>
        <w:ind w:left="0" w:right="0" w:firstLine="72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3305"/>
        <w:gridCol w:w="60"/>
        <w:gridCol w:w="140"/>
        <w:gridCol w:w="1100"/>
        <w:gridCol w:w="11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w:t>
              <w:br/>
              <w:t>leases</w:t>
            </w:r>
          </w:p>
        </w:tc>
        <w:tc>
          <w:tcPr>
            <w:tcW w:w="11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b/>
              </w:rPr>
            </w:pPr>
            <w:r>
              <w:rPr>
                <w:b/>
              </w:rPr>
              <w:t>For the quarter ending June 30:</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1,650,234</w:t>
            </w:r>
          </w:p>
        </w:tc>
        <w:tc>
          <w:tcPr>
            <w:tcW w:w="11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3,363,935</w:t>
            </w:r>
          </w:p>
        </w:tc>
        <w:tc>
          <w:tcPr>
            <w:tcW w:w="11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2,818,443</w:t>
            </w:r>
          </w:p>
        </w:tc>
        <w:tc>
          <w:tcPr>
            <w:tcW w:w="11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1,825,588</w:t>
            </w:r>
          </w:p>
        </w:tc>
        <w:tc>
          <w:tcPr>
            <w:tcW w:w="11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1,313,705</w:t>
            </w:r>
          </w:p>
        </w:tc>
        <w:tc>
          <w:tcPr>
            <w:tcW w:w="11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3,270,171</w:t>
            </w:r>
          </w:p>
        </w:tc>
        <w:tc>
          <w:tcPr>
            <w:tcW w:w="11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Total undiscounted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14,242,076</w:t>
            </w:r>
          </w:p>
        </w:tc>
        <w:tc>
          <w:tcPr>
            <w:tcW w:w="11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Less: present value factor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2,288,033</w:t>
            </w:r>
          </w:p>
        </w:tc>
        <w:tc>
          <w:tcPr>
            <w:tcW w:w="11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Total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11,954,043</w:t>
            </w:r>
          </w:p>
        </w:tc>
        <w:tc>
          <w:tcPr>
            <w:tcW w:w="11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(2,587,294</w:t>
            </w:r>
          </w:p>
        </w:tc>
        <w:tc>
          <w:tcPr>
            <w:tcW w:w="11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b/>
              </w:rPr>
            </w:pPr>
            <w:r>
              <w:rPr>
                <w:b/>
              </w:rPr>
              <w:t>Total long-term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9,366,749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Lessor</w:t>
      </w:r>
      <w:r>
        <w:rPr>
          <w:rFonts w:ascii="Times New Roman;Times;Serif" w:hAnsi="Times New Roman;Times;Serif"/>
          <w:b w:val="false"/>
          <w:i w:val="false"/>
          <w:caps w:val="false"/>
          <w:smallCaps w:val="false"/>
          <w:sz w:val="20"/>
        </w:rPr>
        <w:t xml:space="preserve"> — The Company leases various types of transportation-related equipment to independent third-parties under lease contracts which are generally for a term of one to eight years and contain an option for the lessee to return or purchase the equipment. Depending on the lease agreement, the Company has recorded these as either sales-type leases or operating leases. The Company assesses a third-party’s ability to pay based on the financial capacity and intention to pay, considering all relevant facts and circumstances, including past experiences with that third-party or similar third-parties. For those leases classified as sales-type leases where collectability of lease payments is not probable at lease commencement, the Company does not derecognize the underlying asset, and the payments received for these leases are recorded as deposit liabilities. Deposit liabilities of $9,402,792 and $8,497,950 were reported in accrued liabilities on the condensed consolidated balance sheet as of June 30, 2026 and December 31, 2025, respectively. The determination of collectability is an ongoing assessment, at the time that collectability is determined probable, including in instances where a lease is terminated where collectability is determined probable, the liability and assets will be derecognized with a corresponding earnings recognition.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 receivables are carried at the aggregate of lease payments receivable plus the estimated residual value of the leased assets and any initial direct costs incurred to originate these leases, less unearned income, which is accreted to interest income over the lease term using the interest method. Lease receivables of $81,206 and $148,511 are reported as net investment in leases on the condensed consolidated balance sheet as of June 30, 2026, and December 31,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and three months ended June 30, 2026 and 2025, the Company recorded sales-type lease revenue of $1,484,914, $1,021,361, $1,146,783 and $456,521, respectively, within operating revenue on the condensed consolidated statement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and three months ended June 30, 2026 and 2025, the Company recorded interest income of $5,519, $2,180, $20,554 and $8,158, respectively, within interest expense, net on the condensed consolidated statements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future minimum lease payments expected to be collected were as follows:</w:t>
      </w:r>
    </w:p>
    <w:p>
      <w:pPr>
        <w:pStyle w:val="TextBody"/>
        <w:bidi w:val="0"/>
        <w:spacing w:before="0" w:after="0"/>
        <w:ind w:left="0" w:right="0" w:firstLine="720"/>
        <w:jc w:val="both"/>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5000"/>
        <w:gridCol w:w="60"/>
        <w:gridCol w:w="140"/>
        <w:gridCol w:w="755"/>
        <w:gridCol w:w="110"/>
      </w:tblGrid>
      <w:tr>
        <w:trPr/>
        <w:tc>
          <w:tcPr>
            <w:tcW w:w="5000" w:type="dxa"/>
            <w:tcBorders/>
            <w:vAlign w:val="center"/>
          </w:tcPr>
          <w:p>
            <w:pPr>
              <w:pStyle w:val="TableContents"/>
              <w:bidi w:val="0"/>
              <w:spacing w:before="0" w:after="283"/>
              <w:jc w:val="left"/>
              <w:rPr>
                <w:b/>
              </w:rPr>
            </w:pPr>
            <w:r>
              <w:rPr>
                <w:b/>
              </w:rPr>
              <w:t>For the quarter ending June 30:</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61,945</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22,240</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Total undiscounted cash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84,185</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Less: present value factor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(2,979</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pPr>
            <w:r>
              <w:rPr/>
              <w:t>Total net investment in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81,206</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(81,206</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b/>
              </w:rPr>
            </w:pPr>
            <w:r>
              <w:rPr>
                <w:b/>
              </w:rPr>
              <w:t>Total net investment in lease, 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the Company adopted its 2024 Long-Term Incentive Plan (“the 2024 Plan”). The 2024 Plan provides for the grant of incentive stock options to employees, including employees of any parent or subsidiary, and for the grant of nonstatutory stock options, stock appreciation rights, restricted stock awards, restricted stock unit awards, performance stock unit awards and other forms of stock awards to employees and directors, including employees of our affiliates. After taking into account restricted and performance stock units granted in connection with the IPO in concurrent business combinations (Note 3), the maximum number of shares of our common stock that may be issued under our 2024 Plan is 3,260,000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under the 2024 Plan vest over periods ranging between one (1) and five (5) years after the grant date. Certain awards granted are subject to both service-based and performance-based vesting conditions. The Company uses straight line vesting to record compensation expense. All awards granted are settled in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employee terminates employment with the Company prior to awards vesting, the unvested awards are forfeited and the historical compensation expense is reversed in the period of termination, unless the employee terminates without cause then a pro-rata portion of the then-unvested awards will vest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subject to stock awards granted under the 2024 Plan that expire or terminate do not reduce the number of shares available for issuance under the 2024 Plan. Additionally, shares become available for future grants under the 2024 Plan if they were stock awards issued under the 2024 Plan and we repurchase them or they are forfeited. This includes shares used to pay the exercise price of a stock award or to satisfy the tax withholding obligations related to a stock award. As of June 30, 2026, there were 578,834 remaining shares available to be issued under the 2024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Restricted Stock Units and Performance Stock Units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2026, the Company granted PSUs to certain employees. The Company granted 210,604 PSUs, which are subject to both continued service and the achievement of specified performance conditions, which are based equally on pretax income and adjusted operating ratio over the performance period. The awards are earned based on the level of achievement of the applicable performance targets during the performance period, with payouts ranging from 0% to 200% of the target number of PSUs. The number of shares ultimately earned will depend on the achievement of the applicable performance targets over the performance period. The grant-date fair value of the PSUs was determined based on the closing price of the Company's common stock on the grant date. Compensation expense associated with the PSUs is recognized over the requisite service period based on management's assessment of the probability of achieving the applicable performance conditions, with adjustments recorded in the period management's assessment changes.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compensation expense related to restricted and performance stock awards was $2,698,330, $1,346,248, $2,404,506 and $1,221,497 for the six and three month period ended June 30, 2026 and 2025, respectively. As of June 30, 2026 and 2025, there was a total of $11,297,045 and $14,257,920 of unrecognized compensation expense related to these restricted stock awards, which is expected to be recognized over the next three and four years, respectively. The fair value of restricted stock awards is currently valued at the closing price of the Company’s common stock on the day preceding a grant.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all restricted and performance stock units outstanding as of June 30, 2026, and activity during the six month period ended June 30, 2026, is presented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3"/>
        <w:gridCol w:w="60"/>
        <w:gridCol w:w="80"/>
        <w:gridCol w:w="1325"/>
        <w:gridCol w:w="95"/>
        <w:gridCol w:w="60"/>
        <w:gridCol w:w="436"/>
        <w:gridCol w:w="1991"/>
        <w:gridCol w:w="95"/>
        <w:gridCol w:w="60"/>
        <w:gridCol w:w="193"/>
        <w:gridCol w:w="1521"/>
        <w:gridCol w:w="95"/>
        <w:gridCol w:w="60"/>
        <w:gridCol w:w="309"/>
        <w:gridCol w:w="1653"/>
        <w:gridCol w:w="79"/>
      </w:tblGrid>
      <w:tr>
        <w:trPr/>
        <w:tc>
          <w:tcPr>
            <w:tcW w:w="2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Grant Date Fair 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w:t>
              <w:br/>
              <w:t>Remaining Contractual Life</w:t>
              <w:br/>
              <w:t>(years)</w:t>
            </w:r>
          </w:p>
        </w:tc>
        <w:tc>
          <w:tcPr>
            <w:tcW w:w="79" w:type="dxa"/>
            <w:tcBorders/>
            <w:vAlign w:val="center"/>
          </w:tcPr>
          <w:p>
            <w:pPr>
              <w:pStyle w:val="TableContents"/>
              <w:bidi w:val="0"/>
              <w:spacing w:before="0" w:after="283"/>
              <w:jc w:val="left"/>
              <w:rPr/>
            </w:pPr>
            <w:r>
              <w:rPr/>
              <w:t> </w:t>
            </w:r>
          </w:p>
        </w:tc>
      </w:tr>
      <w:tr>
        <w:trPr/>
        <w:tc>
          <w:tcPr>
            <w:tcW w:w="2093"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967,225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w:t>
            </w:r>
          </w:p>
        </w:tc>
        <w:tc>
          <w:tcPr>
            <w:tcW w:w="1991" w:type="dxa"/>
            <w:tcBorders/>
            <w:shd w:fill="CCEEFF" w:val="clear"/>
            <w:vAlign w:val="center"/>
          </w:tcPr>
          <w:p>
            <w:pPr>
              <w:pStyle w:val="TableContents"/>
              <w:bidi w:val="0"/>
              <w:spacing w:before="0" w:after="283"/>
              <w:jc w:val="right"/>
              <w:rPr/>
            </w:pPr>
            <w:r>
              <w:rPr/>
              <w:t>14.47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521" w:type="dxa"/>
            <w:tcBorders/>
            <w:shd w:fill="CCEEFF" w:val="clear"/>
            <w:vAlign w:val="center"/>
          </w:tcPr>
          <w:p>
            <w:pPr>
              <w:pStyle w:val="TableContents"/>
              <w:bidi w:val="0"/>
              <w:spacing w:before="0" w:after="283"/>
              <w:jc w:val="right"/>
              <w:rPr/>
            </w:pPr>
            <w:r>
              <w:rPr/>
              <w:t>13,994,016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2.7</w:t>
            </w:r>
          </w:p>
        </w:tc>
        <w:tc>
          <w:tcPr>
            <w:tcW w:w="79" w:type="dxa"/>
            <w:tcBorders/>
            <w:shd w:fill="CCEEFF" w:val="clear"/>
            <w:vAlign w:val="center"/>
          </w:tcPr>
          <w:p>
            <w:pPr>
              <w:pStyle w:val="TableContents"/>
              <w:bidi w:val="0"/>
              <w:spacing w:before="0" w:after="283"/>
              <w:jc w:val="left"/>
              <w:rPr/>
            </w:pPr>
            <w:r>
              <w:rPr/>
              <w:t> </w:t>
            </w:r>
          </w:p>
        </w:tc>
      </w:tr>
      <w:tr>
        <w:trPr/>
        <w:tc>
          <w:tcPr>
            <w:tcW w:w="209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423,115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right"/>
              <w:rPr/>
            </w:pPr>
            <w:r>
              <w:rPr/>
              <w:t>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3,016,253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093"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(301,001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1991" w:type="dxa"/>
            <w:tcBorders/>
            <w:shd w:fill="CCEEFF" w:val="clear"/>
            <w:vAlign w:val="center"/>
          </w:tcPr>
          <w:p>
            <w:pPr>
              <w:pStyle w:val="TableContents"/>
              <w:bidi w:val="0"/>
              <w:spacing w:before="0" w:after="283"/>
              <w:jc w:val="right"/>
              <w:rPr/>
            </w:pPr>
            <w:r>
              <w:rPr/>
              <w:t>(13.52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(4,069,957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093" w:type="dxa"/>
            <w:tcBorders/>
            <w:shd w:fill="FFFFFF" w:val="clear"/>
            <w:vAlign w:val="center"/>
          </w:tcPr>
          <w:p>
            <w:pPr>
              <w:pStyle w:val="TableContents"/>
              <w:bidi w:val="0"/>
              <w:spacing w:before="0" w:after="283"/>
              <w:jc w:val="left"/>
              <w:rPr/>
            </w:pPr>
            <w:r>
              <w:rPr/>
              <w:t>Canceled/Forfeited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(30,172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1" w:type="dxa"/>
            <w:tcBorders>
              <w:bottom w:val="single" w:sz="12" w:space="0" w:color="000000"/>
            </w:tcBorders>
            <w:shd w:fill="FFFFFF" w:val="clear"/>
            <w:tcMar>
              <w:bottom w:w="28" w:type="dxa"/>
            </w:tcMar>
            <w:vAlign w:val="center"/>
          </w:tcPr>
          <w:p>
            <w:pPr>
              <w:pStyle w:val="TableContents"/>
              <w:bidi w:val="0"/>
              <w:spacing w:before="0" w:after="283"/>
              <w:jc w:val="right"/>
              <w:rPr/>
            </w:pPr>
            <w:r>
              <w:rPr/>
              <w:t>(8.24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12" w:space="0" w:color="000000"/>
            </w:tcBorders>
            <w:shd w:fill="FFFFFF" w:val="clear"/>
            <w:tcMar>
              <w:bottom w:w="28" w:type="dxa"/>
            </w:tcMar>
            <w:vAlign w:val="center"/>
          </w:tcPr>
          <w:p>
            <w:pPr>
              <w:pStyle w:val="TableContents"/>
              <w:bidi w:val="0"/>
              <w:spacing w:before="0" w:after="283"/>
              <w:jc w:val="right"/>
              <w:rPr/>
            </w:pPr>
            <w:r>
              <w:rPr/>
              <w:t>(248,467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093" w:type="dxa"/>
            <w:tcBorders/>
            <w:shd w:fill="CCEEFF" w:val="clear"/>
            <w:vAlign w:val="center"/>
          </w:tcPr>
          <w:p>
            <w:pPr>
              <w:pStyle w:val="TableContents"/>
              <w:bidi w:val="0"/>
              <w:spacing w:before="0" w:after="283"/>
              <w:jc w:val="left"/>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1,059,167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991" w:type="dxa"/>
            <w:tcBorders>
              <w:bottom w:val="double" w:sz="10" w:space="0" w:color="000000"/>
            </w:tcBorders>
            <w:shd w:fill="CCEEFF" w:val="clear"/>
            <w:tcMar>
              <w:bottom w:w="28" w:type="dxa"/>
            </w:tcMar>
            <w:vAlign w:val="center"/>
          </w:tcPr>
          <w:p>
            <w:pPr>
              <w:pStyle w:val="TableContents"/>
              <w:bidi w:val="0"/>
              <w:spacing w:before="0" w:after="283"/>
              <w:jc w:val="right"/>
              <w:rPr/>
            </w:pPr>
            <w:r>
              <w:rPr/>
              <w:t>11.98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1" w:type="dxa"/>
            <w:tcBorders>
              <w:bottom w:val="double" w:sz="10" w:space="0" w:color="000000"/>
            </w:tcBorders>
            <w:shd w:fill="CCEEFF" w:val="clear"/>
            <w:tcMar>
              <w:bottom w:w="28" w:type="dxa"/>
            </w:tcMar>
            <w:vAlign w:val="center"/>
          </w:tcPr>
          <w:p>
            <w:pPr>
              <w:pStyle w:val="TableContents"/>
              <w:bidi w:val="0"/>
              <w:spacing w:before="0" w:after="283"/>
              <w:jc w:val="right"/>
              <w:rPr/>
            </w:pPr>
            <w:r>
              <w:rPr/>
              <w:t>12,691,845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53" w:type="dxa"/>
            <w:tcBorders>
              <w:bottom w:val="double" w:sz="10" w:space="0" w:color="000000"/>
            </w:tcBorders>
            <w:shd w:fill="CCEEFF" w:val="clear"/>
            <w:tcMar>
              <w:bottom w:w="28" w:type="dxa"/>
            </w:tcMar>
            <w:vAlign w:val="center"/>
          </w:tcPr>
          <w:p>
            <w:pPr>
              <w:pStyle w:val="TableContents"/>
              <w:bidi w:val="0"/>
              <w:spacing w:before="0" w:after="283"/>
              <w:jc w:val="right"/>
              <w:rPr/>
            </w:pPr>
            <w:r>
              <w:rPr/>
              <w:t>2.4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 2026, the Company announced that its Board of Directors authorized a share repurchase program under which the Company may repurchase up to $15 million of its common stock. The repurchase program authorizes the Company to purchase its common stock from time to time in the open market, in block transactions, in privately negotiated transactions, through accelerated stock repurchase programs, through option or other forward transactions or otherwise, all in compliance with applicable laws, rules, regulations and other restrictions. In March 2026, the Company repurchased 82,877 shares of common stock at an average price of $6.25. The repurchased shares were subsequently reissued in May 2026. Accordingly, the Company held no treasury stock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Segment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is organized into two operating segments, which represent the Company’s reportable segments. The Company Drivers segment offers automobile transport and contract services under an asset-based model. The Company’s contract service offering uses Company-owned equipment to service specific customers and provides transportation services primarily through long-term contracts. The Company’s Subhauler segment offers transportation services utilizing an asset-light model focusing on outsourcing transportation of loads to independent contractors and third-party carriers.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our reportable segments: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82"/>
        <w:gridCol w:w="60"/>
        <w:gridCol w:w="183"/>
        <w:gridCol w:w="1449"/>
        <w:gridCol w:w="95"/>
        <w:gridCol w:w="60"/>
        <w:gridCol w:w="140"/>
        <w:gridCol w:w="1220"/>
        <w:gridCol w:w="60"/>
        <w:gridCol w:w="60"/>
        <w:gridCol w:w="140"/>
        <w:gridCol w:w="1220"/>
        <w:gridCol w:w="436"/>
      </w:tblGrid>
      <w:tr>
        <w:trPr/>
        <w:tc>
          <w:tcPr>
            <w:tcW w:w="5082" w:type="dxa"/>
            <w:tcBorders>
              <w:bottom w:val="single" w:sz="12" w:space="0" w:color="000000"/>
            </w:tcBorders>
            <w:vAlign w:val="center"/>
          </w:tcPr>
          <w:p>
            <w:pPr>
              <w:pStyle w:val="TableContents"/>
              <w:bidi w:val="0"/>
              <w:spacing w:before="0" w:after="283"/>
              <w:jc w:val="left"/>
              <w:rPr>
                <w:b/>
              </w:rPr>
            </w:pPr>
            <w:r>
              <w:rPr>
                <w:b/>
              </w:rPr>
              <w:t>Six Months Ended June 30, 2026</w:t>
            </w:r>
          </w:p>
        </w:tc>
        <w:tc>
          <w:tcPr>
            <w:tcW w:w="60" w:type="dxa"/>
            <w:tcBorders/>
            <w:tcMar>
              <w:bottom w:w="0" w:type="dxa"/>
            </w:tcMar>
            <w:vAlign w:val="center"/>
          </w:tcPr>
          <w:p>
            <w:pPr>
              <w:pStyle w:val="TableContents"/>
              <w:bidi w:val="0"/>
              <w:spacing w:before="0" w:after="283"/>
              <w:jc w:val="left"/>
              <w:rPr/>
            </w:pPr>
            <w:r>
              <w:rPr/>
              <w:t> </w:t>
            </w:r>
          </w:p>
        </w:tc>
        <w:tc>
          <w:tcPr>
            <w:tcW w:w="1632" w:type="dxa"/>
            <w:gridSpan w:val="2"/>
            <w:tcBorders>
              <w:bottom w:val="single" w:sz="12" w:space="0" w:color="000000"/>
            </w:tcBorders>
            <w:vAlign w:val="center"/>
          </w:tcPr>
          <w:p>
            <w:pPr>
              <w:pStyle w:val="TableContents"/>
              <w:bidi w:val="0"/>
              <w:spacing w:before="0" w:after="283"/>
              <w:jc w:val="center"/>
              <w:rPr>
                <w:b/>
              </w:rPr>
            </w:pPr>
            <w:r>
              <w:rPr>
                <w:b/>
              </w:rPr>
              <w:t>Company Drivers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Subhaulers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436" w:type="dxa"/>
            <w:tcBorders/>
            <w:tcMar>
              <w:bottom w:w="0" w:type="dxa"/>
            </w:tcMar>
            <w:vAlign w:val="center"/>
          </w:tcPr>
          <w:p>
            <w:pPr>
              <w:pStyle w:val="TableContents"/>
              <w:bidi w:val="0"/>
              <w:spacing w:before="0" w:after="283"/>
              <w:jc w:val="left"/>
              <w:rPr/>
            </w:pPr>
            <w:r>
              <w:rPr/>
              <w:t> </w:t>
            </w:r>
          </w:p>
        </w:tc>
      </w:tr>
      <w:tr>
        <w:trPr/>
        <w:tc>
          <w:tcPr>
            <w:tcW w:w="5082" w:type="dxa"/>
            <w:tcBorders/>
            <w:tcMar>
              <w:bottom w:w="0" w:type="dxa"/>
            </w:tcMar>
            <w:vAlign w:val="center"/>
          </w:tcPr>
          <w:p>
            <w:pPr>
              <w:pStyle w:val="TableContents"/>
              <w:bidi w:val="0"/>
              <w:spacing w:before="0" w:after="283"/>
              <w:jc w:val="left"/>
              <w:rPr>
                <w:b/>
              </w:rPr>
            </w:pPr>
            <w:r>
              <w:rPr>
                <w:b/>
              </w:rPr>
              <w:t>Revenue</w:t>
            </w:r>
          </w:p>
        </w:tc>
        <w:tc>
          <w:tcPr>
            <w:tcW w:w="60" w:type="dxa"/>
            <w:tcBorders/>
            <w:tcMar>
              <w:bottom w:w="0" w:type="dxa"/>
            </w:tcMar>
            <w:vAlign w:val="center"/>
          </w:tcPr>
          <w:p>
            <w:pPr>
              <w:pStyle w:val="TableContents"/>
              <w:bidi w:val="0"/>
              <w:spacing w:before="0" w:after="283"/>
              <w:jc w:val="left"/>
              <w:rPr/>
            </w:pPr>
            <w:r>
              <w:rPr/>
              <w:t> </w:t>
            </w:r>
          </w:p>
        </w:tc>
        <w:tc>
          <w:tcPr>
            <w:tcW w:w="1632"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right"/>
              <w:rPr/>
            </w:pPr>
            <w:r>
              <w:rPr/>
              <w:t> </w:t>
            </w:r>
          </w:p>
        </w:tc>
        <w:tc>
          <w:tcPr>
            <w:tcW w:w="436" w:type="dxa"/>
            <w:tcBorders/>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Revenue, before fuel surcharge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449" w:type="dxa"/>
            <w:tcBorders/>
            <w:shd w:fill="CCEEFF" w:val="clear"/>
            <w:tcMar>
              <w:bottom w:w="0" w:type="dxa"/>
            </w:tcMar>
            <w:vAlign w:val="center"/>
          </w:tcPr>
          <w:p>
            <w:pPr>
              <w:pStyle w:val="TableContents"/>
              <w:bidi w:val="0"/>
              <w:spacing w:before="0" w:after="283"/>
              <w:jc w:val="right"/>
              <w:rPr/>
            </w:pPr>
            <w:r>
              <w:rPr/>
              <w:t>70,774,051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111,438,513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182,212,564</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Fuel surcharge and other reimbursements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6,033,770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10,882,267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16,916,037</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Other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460,941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1,449,791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1,910,732</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Lease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1449"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2,050,121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2,050,121</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b/>
              </w:rPr>
            </w:pPr>
            <w:r>
              <w:rPr>
                <w:b/>
              </w:rPr>
              <w:t>Segment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449" w:type="dxa"/>
            <w:tcBorders/>
            <w:shd w:fill="CCEEFF" w:val="clear"/>
            <w:tcMar>
              <w:bottom w:w="0" w:type="dxa"/>
            </w:tcMar>
            <w:vAlign w:val="center"/>
          </w:tcPr>
          <w:p>
            <w:pPr>
              <w:pStyle w:val="TableContents"/>
              <w:bidi w:val="0"/>
              <w:spacing w:before="0" w:after="283"/>
              <w:jc w:val="right"/>
              <w:rPr/>
            </w:pPr>
            <w:r>
              <w:rPr/>
              <w:t>77,268,762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125,820,692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220" w:type="dxa"/>
            <w:tcBorders>
              <w:bottom w:val="single" w:sz="12" w:space="0" w:color="000000"/>
            </w:tcBorders>
            <w:shd w:fill="CCEEFF" w:val="clear"/>
            <w:vAlign w:val="center"/>
          </w:tcPr>
          <w:p>
            <w:pPr>
              <w:pStyle w:val="TableContents"/>
              <w:bidi w:val="0"/>
              <w:spacing w:before="0" w:after="283"/>
              <w:jc w:val="right"/>
              <w:rPr/>
            </w:pPr>
            <w:r>
              <w:rPr/>
              <w:t>203,089,454</w:t>
            </w:r>
          </w:p>
        </w:tc>
        <w:tc>
          <w:tcPr>
            <w:tcW w:w="436" w:type="dxa"/>
            <w:tcBorders/>
            <w:shd w:fill="CCEEFF" w:val="clear"/>
            <w:tcMar>
              <w:bottom w:w="0" w:type="dxa"/>
            </w:tcMar>
            <w:vAlign w:val="center"/>
          </w:tcPr>
          <w:p>
            <w:pPr>
              <w:pStyle w:val="TableContents"/>
              <w:bidi w:val="0"/>
              <w:spacing w:before="0" w:after="283"/>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i/>
              </w:rPr>
            </w:pPr>
            <w:r>
              <w:rPr>
                <w:i/>
              </w:rPr>
              <w:t>Reconciliation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Other revenues</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w:t>
            </w:r>
          </w:p>
        </w:tc>
        <w:tc>
          <w:tcPr>
            <w:tcW w:w="436" w:type="dxa"/>
            <w:tcBorders/>
            <w:shd w:fill="CCEEFF" w:val="clear"/>
            <w:tcMar>
              <w:bottom w:w="0" w:type="dxa"/>
            </w:tcMar>
            <w:vAlign w:val="center"/>
          </w:tcPr>
          <w:p>
            <w:pPr>
              <w:pStyle w:val="TableContents"/>
              <w:bidi w:val="0"/>
              <w:spacing w:before="0" w:after="283"/>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b/>
              </w:rPr>
            </w:pPr>
            <w:r>
              <w:rPr>
                <w:b/>
              </w:rPr>
              <w:t>Total Consolidated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203,089,454</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b/>
              </w:rPr>
            </w:pPr>
            <w:r>
              <w:rPr>
                <w:b/>
              </w:rPr>
              <w:t>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6"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Salaries, wages and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33,106,261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6,284,844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39,391,105</w:t>
            </w:r>
          </w:p>
        </w:tc>
        <w:tc>
          <w:tcPr>
            <w:tcW w:w="436"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Fuel and fuel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15,813,808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15,813,808</w:t>
            </w:r>
          </w:p>
        </w:tc>
        <w:tc>
          <w:tcPr>
            <w:tcW w:w="436"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Purchased transportation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97,598,053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97,598,053</w:t>
            </w:r>
          </w:p>
        </w:tc>
        <w:tc>
          <w:tcPr>
            <w:tcW w:w="436"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Truck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14,255,346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14,255,346</w:t>
            </w:r>
          </w:p>
        </w:tc>
        <w:tc>
          <w:tcPr>
            <w:tcW w:w="436"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10,889,687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3,814,267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14,703,954</w:t>
            </w:r>
          </w:p>
        </w:tc>
        <w:tc>
          <w:tcPr>
            <w:tcW w:w="436"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449" w:type="dxa"/>
            <w:tcBorders>
              <w:bottom w:val="single" w:sz="12" w:space="0" w:color="000000"/>
            </w:tcBorders>
            <w:shd w:fill="CCEEFF" w:val="clear"/>
            <w:vAlign w:val="center"/>
          </w:tcPr>
          <w:p>
            <w:pPr>
              <w:pStyle w:val="TableContents"/>
              <w:bidi w:val="0"/>
              <w:spacing w:before="0" w:after="283"/>
              <w:jc w:val="right"/>
              <w:rPr/>
            </w:pPr>
            <w:r>
              <w:rPr/>
              <w:t>9,733,045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7,243,615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16,976,660</w:t>
            </w:r>
          </w:p>
        </w:tc>
        <w:tc>
          <w:tcPr>
            <w:tcW w:w="436" w:type="dxa"/>
            <w:tcBorders/>
            <w:shd w:fill="CCEEFF" w:val="clear"/>
            <w:tcMar>
              <w:bottom w:w="0" w:type="dxa"/>
            </w:tcMar>
            <w:vAlign w:val="center"/>
          </w:tcPr>
          <w:p>
            <w:pPr>
              <w:pStyle w:val="TableContents"/>
              <w:bidi w:val="0"/>
              <w:spacing w:before="0" w:after="283"/>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b/>
              </w:rPr>
            </w:pPr>
            <w:r>
              <w:rPr>
                <w:b/>
              </w:rPr>
              <w:t>Segment Operating Profit/(Loss)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449" w:type="dxa"/>
            <w:tcBorders/>
            <w:shd w:fill="FFFFFF" w:val="clear"/>
            <w:tcMar>
              <w:bottom w:w="0" w:type="dxa"/>
            </w:tcMar>
            <w:vAlign w:val="center"/>
          </w:tcPr>
          <w:p>
            <w:pPr>
              <w:pStyle w:val="TableContents"/>
              <w:bidi w:val="0"/>
              <w:spacing w:before="0" w:after="283"/>
              <w:jc w:val="right"/>
              <w:rPr/>
            </w:pPr>
            <w:r>
              <w:rPr/>
              <w:t>(6,083,465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10,433,993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4,350,528</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i/>
              </w:rPr>
            </w:pPr>
            <w:r>
              <w:rPr>
                <w:i/>
              </w:rPr>
              <w:t>Reconciliation of segment operating profit to income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Other profit/(loss)(2)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(14,520,113</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082"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(2,829,067</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w:t>
            </w:r>
          </w:p>
        </w:tc>
      </w:tr>
      <w:tr>
        <w:trPr/>
        <w:tc>
          <w:tcPr>
            <w:tcW w:w="5082" w:type="dxa"/>
            <w:tcBorders/>
            <w:shd w:fill="FFFFFF" w:val="clear"/>
            <w:tcMar>
              <w:bottom w:w="0" w:type="dxa"/>
            </w:tcMar>
            <w:vAlign w:val="center"/>
          </w:tcPr>
          <w:p>
            <w:pPr>
              <w:pStyle w:val="TableContents"/>
              <w:bidi w:val="0"/>
              <w:spacing w:before="0" w:after="283"/>
              <w:jc w:val="left"/>
              <w:rPr/>
            </w:pPr>
            <w:r>
              <w:rPr/>
              <w:t>Acquisition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(23,736</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082" w:type="dxa"/>
            <w:tcBorders/>
            <w:shd w:fill="CCEEFF" w:val="clear"/>
            <w:tcMar>
              <w:bottom w:w="0" w:type="dxa"/>
            </w:tcMar>
            <w:vAlign w:val="center"/>
          </w:tcPr>
          <w:p>
            <w:pPr>
              <w:pStyle w:val="TableContents"/>
              <w:bidi w:val="0"/>
              <w:spacing w:before="0" w:after="283"/>
              <w:jc w:val="left"/>
              <w:rPr/>
            </w:pPr>
            <w:r>
              <w:rPr/>
              <w:t>Other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14,738</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b/>
              </w:rPr>
            </w:pPr>
            <w:r>
              <w:rPr>
                <w:b/>
              </w:rPr>
              <w:t>Income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(13,007,650</w:t>
            </w:r>
          </w:p>
        </w:tc>
        <w:tc>
          <w:tcPr>
            <w:tcW w:w="436" w:type="dxa"/>
            <w:tcBorders/>
            <w:shd w:fill="FFFFFF" w:val="clear"/>
            <w:tcMar>
              <w:bottom w:w="0" w:type="dxa"/>
            </w:tcMar>
            <w:vAlign w:val="center"/>
          </w:tcPr>
          <w:p>
            <w:pPr>
              <w:pStyle w:val="TableContents"/>
              <w:bidi w:val="0"/>
              <w:spacing w:before="0" w:after="283"/>
              <w:ind w:left="0" w:right="0" w:firstLine="220"/>
              <w:jc w:val="left"/>
              <w:rPr/>
            </w:pPr>
            <w:r>
              <w:rPr/>
              <w:t>)</w:t>
            </w:r>
          </w:p>
        </w:tc>
      </w:tr>
      <w:tr>
        <w:trPr/>
        <w:tc>
          <w:tcPr>
            <w:tcW w:w="508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b/>
              </w:rPr>
            </w:pPr>
            <w:r>
              <w:rPr>
                <w:b/>
              </w:rPr>
              <w:t>Other Segment Disclosures: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pPr>
            <w:r>
              <w:rPr/>
              <w:t>Depreciation and amortization</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449" w:type="dxa"/>
            <w:tcBorders/>
            <w:shd w:fill="CCEEFF" w:val="clear"/>
            <w:tcMar>
              <w:bottom w:w="0" w:type="dxa"/>
            </w:tcMar>
            <w:vAlign w:val="center"/>
          </w:tcPr>
          <w:p>
            <w:pPr>
              <w:pStyle w:val="TableContents"/>
              <w:bidi w:val="0"/>
              <w:spacing w:before="0" w:after="283"/>
              <w:jc w:val="right"/>
              <w:rPr/>
            </w:pPr>
            <w:r>
              <w:rPr/>
              <w:t>10,889,687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3,814,267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14,703,954</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FFFFFF" w:val="clear"/>
            <w:tcMar>
              <w:bottom w:w="0" w:type="dxa"/>
            </w:tcMar>
            <w:vAlign w:val="center"/>
          </w:tcPr>
          <w:p>
            <w:pPr>
              <w:pStyle w:val="TableContents"/>
              <w:bidi w:val="0"/>
              <w:spacing w:before="0" w:after="283"/>
              <w:jc w:val="left"/>
              <w:rPr/>
            </w:pPr>
            <w:r>
              <w:rPr/>
              <w:t>Intangible amortization</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4,829,504</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082" w:type="dxa"/>
            <w:tcBorders/>
            <w:shd w:fill="CCEEFF" w:val="clear"/>
            <w:tcMar>
              <w:bottom w:w="0" w:type="dxa"/>
            </w:tcMar>
            <w:vAlign w:val="center"/>
          </w:tcPr>
          <w:p>
            <w:pPr>
              <w:pStyle w:val="TableContents"/>
              <w:bidi w:val="0"/>
              <w:spacing w:before="0" w:after="283"/>
              <w:jc w:val="left"/>
              <w:rPr>
                <w:b/>
              </w:rPr>
            </w:pPr>
            <w:r>
              <w:rPr>
                <w:b/>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4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19,533,458</w:t>
            </w:r>
          </w:p>
        </w:tc>
        <w:tc>
          <w:tcPr>
            <w:tcW w:w="43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osition w:val="8"/>
                <w:sz w:val="19"/>
              </w:rPr>
            </w:pPr>
            <w:r>
              <w:rPr>
                <w:position w:val="8"/>
                <w:sz w:val="19"/>
              </w:rPr>
              <w:t>(1)</w:t>
            </w:r>
          </w:p>
        </w:tc>
        <w:tc>
          <w:tcPr>
            <w:tcW w:w="9969" w:type="dxa"/>
            <w:tcBorders/>
            <w:vAlign w:val="center"/>
          </w:tcPr>
          <w:p>
            <w:pPr>
              <w:pStyle w:val="TableContents"/>
              <w:bidi w:val="0"/>
              <w:spacing w:before="0" w:after="283"/>
              <w:jc w:val="both"/>
              <w:rPr/>
            </w:pPr>
            <w:r>
              <w:rPr/>
              <w:t>Other segment items for each reportable segment include General, selling, and other operating expenses, Gain on sale of equipment and Insurance premiums and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osition w:val="8"/>
                <w:sz w:val="19"/>
              </w:rPr>
            </w:pPr>
            <w:r>
              <w:rPr>
                <w:position w:val="8"/>
                <w:sz w:val="19"/>
              </w:rPr>
              <w:t>(2)</w:t>
            </w:r>
          </w:p>
        </w:tc>
        <w:tc>
          <w:tcPr>
            <w:tcW w:w="9996" w:type="dxa"/>
            <w:tcBorders/>
            <w:vAlign w:val="center"/>
          </w:tcPr>
          <w:p>
            <w:pPr>
              <w:pStyle w:val="TableContents"/>
              <w:bidi w:val="0"/>
              <w:spacing w:before="0" w:after="283"/>
              <w:jc w:val="both"/>
              <w:rPr/>
            </w:pPr>
            <w:r>
              <w:rPr/>
              <w:t>Other profit/(loss) relates to items not included within the Company’s measure of Segment Operating profit / (loss), these include corporate and unallocated expenses which were not included within the measures of segment profitability regularly reviewed by the CODM. These include $3,579,334 in Salaries, wages and benefits, $2,698,330 in Stock Based Compensation, $74,292 in Depreciation and amortization, $4,829,504 in Intangible Amortization, $641,347 in Insurance Premiums and Claims, and $2,697,306 in General Selling, and other 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osition w:val="8"/>
                <w:sz w:val="19"/>
              </w:rPr>
            </w:pPr>
            <w:r>
              <w:rPr>
                <w:position w:val="8"/>
                <w:sz w:val="19"/>
              </w:rPr>
              <w:t>(3)</w:t>
            </w:r>
          </w:p>
        </w:tc>
        <w:tc>
          <w:tcPr>
            <w:tcW w:w="9959" w:type="dxa"/>
            <w:tcBorders/>
            <w:vAlign w:val="center"/>
          </w:tcPr>
          <w:p>
            <w:pPr>
              <w:pStyle w:val="TableContents"/>
              <w:bidi w:val="0"/>
              <w:spacing w:before="0" w:after="283"/>
              <w:jc w:val="both"/>
              <w:rPr/>
            </w:pPr>
            <w:r>
              <w:rPr/>
              <w:t>The amounts of depreciation and amortization disclosed by reportable segment are included within the other segment items captions.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90"/>
        <w:gridCol w:w="60"/>
        <w:gridCol w:w="185"/>
        <w:gridCol w:w="1459"/>
        <w:gridCol w:w="95"/>
        <w:gridCol w:w="60"/>
        <w:gridCol w:w="140"/>
        <w:gridCol w:w="1100"/>
        <w:gridCol w:w="60"/>
        <w:gridCol w:w="60"/>
        <w:gridCol w:w="140"/>
        <w:gridCol w:w="1220"/>
        <w:gridCol w:w="436"/>
      </w:tblGrid>
      <w:tr>
        <w:trPr/>
        <w:tc>
          <w:tcPr>
            <w:tcW w:w="5190" w:type="dxa"/>
            <w:tcBorders>
              <w:bottom w:val="single" w:sz="12" w:space="0" w:color="000000"/>
            </w:tcBorders>
            <w:vAlign w:val="center"/>
          </w:tcPr>
          <w:p>
            <w:pPr>
              <w:pStyle w:val="TableContents"/>
              <w:bidi w:val="0"/>
              <w:spacing w:before="0" w:after="283"/>
              <w:jc w:val="left"/>
              <w:rPr>
                <w:b/>
              </w:rPr>
            </w:pPr>
            <w:r>
              <w:rPr>
                <w:b/>
              </w:rPr>
              <w:t>Three Months Ended June 30, 2026</w:t>
            </w:r>
          </w:p>
        </w:tc>
        <w:tc>
          <w:tcPr>
            <w:tcW w:w="60" w:type="dxa"/>
            <w:tcBorders/>
            <w:tcMar>
              <w:bottom w:w="0" w:type="dxa"/>
            </w:tcMar>
            <w:vAlign w:val="center"/>
          </w:tcPr>
          <w:p>
            <w:pPr>
              <w:pStyle w:val="TableContents"/>
              <w:bidi w:val="0"/>
              <w:spacing w:before="0" w:after="283"/>
              <w:jc w:val="left"/>
              <w:rPr/>
            </w:pPr>
            <w:r>
              <w:rPr/>
              <w:t> </w:t>
            </w:r>
          </w:p>
        </w:tc>
        <w:tc>
          <w:tcPr>
            <w:tcW w:w="1644" w:type="dxa"/>
            <w:gridSpan w:val="2"/>
            <w:tcBorders>
              <w:bottom w:val="single" w:sz="12" w:space="0" w:color="000000"/>
            </w:tcBorders>
            <w:vAlign w:val="center"/>
          </w:tcPr>
          <w:p>
            <w:pPr>
              <w:pStyle w:val="TableContents"/>
              <w:bidi w:val="0"/>
              <w:spacing w:before="0" w:after="283"/>
              <w:jc w:val="center"/>
              <w:rPr>
                <w:b/>
              </w:rPr>
            </w:pPr>
            <w:r>
              <w:rPr>
                <w:b/>
              </w:rPr>
              <w:t>Company Drivers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Subhaulers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436" w:type="dxa"/>
            <w:tcBorders/>
            <w:tcMar>
              <w:bottom w:w="0" w:type="dxa"/>
            </w:tcMar>
            <w:vAlign w:val="center"/>
          </w:tcPr>
          <w:p>
            <w:pPr>
              <w:pStyle w:val="TableContents"/>
              <w:bidi w:val="0"/>
              <w:spacing w:before="0" w:after="283"/>
              <w:jc w:val="left"/>
              <w:rPr/>
            </w:pPr>
            <w:r>
              <w:rPr/>
              <w:t> </w:t>
            </w:r>
          </w:p>
        </w:tc>
      </w:tr>
      <w:tr>
        <w:trPr/>
        <w:tc>
          <w:tcPr>
            <w:tcW w:w="5190" w:type="dxa"/>
            <w:tcBorders/>
            <w:tcMar>
              <w:bottom w:w="0" w:type="dxa"/>
            </w:tcMar>
            <w:vAlign w:val="center"/>
          </w:tcPr>
          <w:p>
            <w:pPr>
              <w:pStyle w:val="TableContents"/>
              <w:bidi w:val="0"/>
              <w:spacing w:before="0" w:after="283"/>
              <w:jc w:val="left"/>
              <w:rPr>
                <w:b/>
              </w:rPr>
            </w:pPr>
            <w:r>
              <w:rPr>
                <w:b/>
              </w:rPr>
              <w:t>Revenue</w:t>
            </w:r>
          </w:p>
        </w:tc>
        <w:tc>
          <w:tcPr>
            <w:tcW w:w="60" w:type="dxa"/>
            <w:tcBorders/>
            <w:tcMar>
              <w:bottom w:w="0" w:type="dxa"/>
            </w:tcMar>
            <w:vAlign w:val="center"/>
          </w:tcPr>
          <w:p>
            <w:pPr>
              <w:pStyle w:val="TableContents"/>
              <w:bidi w:val="0"/>
              <w:spacing w:before="0" w:after="283"/>
              <w:jc w:val="left"/>
              <w:rPr/>
            </w:pPr>
            <w:r>
              <w:rPr/>
              <w:t> </w:t>
            </w:r>
          </w:p>
        </w:tc>
        <w:tc>
          <w:tcPr>
            <w:tcW w:w="164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right"/>
              <w:rPr/>
            </w:pPr>
            <w:r>
              <w:rPr/>
              <w:t> </w:t>
            </w:r>
          </w:p>
        </w:tc>
        <w:tc>
          <w:tcPr>
            <w:tcW w:w="436" w:type="dxa"/>
            <w:tcBorders/>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Revenue, before fuel surcharge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1459" w:type="dxa"/>
            <w:tcBorders/>
            <w:shd w:fill="CCEEFF" w:val="clear"/>
            <w:tcMar>
              <w:bottom w:w="0" w:type="dxa"/>
            </w:tcMar>
            <w:vAlign w:val="center"/>
          </w:tcPr>
          <w:p>
            <w:pPr>
              <w:pStyle w:val="TableContents"/>
              <w:bidi w:val="0"/>
              <w:spacing w:before="0" w:after="283"/>
              <w:jc w:val="right"/>
              <w:rPr/>
            </w:pPr>
            <w:r>
              <w:rPr/>
              <w:t>36,690,353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59,325,257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96,015,610</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Fuel surcharge and other reimbursements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4,043,750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7,207,836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11,251,586</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Other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279,748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526,784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806,532</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Lease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bottom w:val="single" w:sz="12" w:space="0" w:color="000000"/>
            </w:tcBorders>
            <w:shd w:fill="FFFFFF" w:val="clear"/>
            <w:vAlign w:val="center"/>
          </w:tcPr>
          <w:p>
            <w:pPr>
              <w:pStyle w:val="TableContents"/>
              <w:bidi w:val="0"/>
              <w:spacing w:before="0" w:after="283"/>
              <w:jc w:val="left"/>
              <w:rPr/>
            </w:pPr>
            <w:r>
              <w:rPr/>
              <w:t> </w:t>
            </w:r>
          </w:p>
        </w:tc>
        <w:tc>
          <w:tcPr>
            <w:tcW w:w="1459"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1,326,057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1,326,057</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b/>
              </w:rPr>
            </w:pPr>
            <w:r>
              <w:rPr>
                <w:b/>
              </w:rPr>
              <w:t>Segment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1459" w:type="dxa"/>
            <w:tcBorders/>
            <w:shd w:fill="CCEEFF" w:val="clear"/>
            <w:tcMar>
              <w:bottom w:w="0" w:type="dxa"/>
            </w:tcMar>
            <w:vAlign w:val="center"/>
          </w:tcPr>
          <w:p>
            <w:pPr>
              <w:pStyle w:val="TableContents"/>
              <w:bidi w:val="0"/>
              <w:spacing w:before="0" w:after="283"/>
              <w:jc w:val="right"/>
              <w:rPr/>
            </w:pPr>
            <w:r>
              <w:rPr/>
              <w:t>41,013,851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68,385,934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220" w:type="dxa"/>
            <w:tcBorders>
              <w:bottom w:val="single" w:sz="12" w:space="0" w:color="000000"/>
            </w:tcBorders>
            <w:shd w:fill="CCEEFF" w:val="clear"/>
            <w:vAlign w:val="center"/>
          </w:tcPr>
          <w:p>
            <w:pPr>
              <w:pStyle w:val="TableContents"/>
              <w:bidi w:val="0"/>
              <w:spacing w:before="0" w:after="283"/>
              <w:jc w:val="right"/>
              <w:rPr/>
            </w:pPr>
            <w:r>
              <w:rPr/>
              <w:t>109,399,785</w:t>
            </w:r>
          </w:p>
        </w:tc>
        <w:tc>
          <w:tcPr>
            <w:tcW w:w="436" w:type="dxa"/>
            <w:tcBorders/>
            <w:shd w:fill="CCEEFF" w:val="clear"/>
            <w:tcMar>
              <w:bottom w:w="0" w:type="dxa"/>
            </w:tcMar>
            <w:vAlign w:val="center"/>
          </w:tcPr>
          <w:p>
            <w:pPr>
              <w:pStyle w:val="TableContents"/>
              <w:bidi w:val="0"/>
              <w:spacing w:before="0" w:after="283"/>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i/>
              </w:rPr>
            </w:pPr>
            <w:r>
              <w:rPr>
                <w:i/>
              </w:rPr>
              <w:t>Reconciliation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Other revenues</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w:t>
            </w:r>
          </w:p>
        </w:tc>
        <w:tc>
          <w:tcPr>
            <w:tcW w:w="436" w:type="dxa"/>
            <w:tcBorders/>
            <w:shd w:fill="CCEEFF" w:val="clear"/>
            <w:tcMar>
              <w:bottom w:w="0" w:type="dxa"/>
            </w:tcMar>
            <w:vAlign w:val="center"/>
          </w:tcPr>
          <w:p>
            <w:pPr>
              <w:pStyle w:val="TableContents"/>
              <w:bidi w:val="0"/>
              <w:spacing w:before="0" w:after="283"/>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b/>
              </w:rPr>
            </w:pPr>
            <w:r>
              <w:rPr>
                <w:b/>
              </w:rPr>
              <w:t>Total Consolidated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109,399,785</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b/>
              </w:rPr>
            </w:pPr>
            <w:r>
              <w:rPr>
                <w:b/>
              </w:rPr>
              <w:t>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6"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Salaries, wages and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17,522,597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2,715,163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20,237,760</w:t>
            </w:r>
          </w:p>
        </w:tc>
        <w:tc>
          <w:tcPr>
            <w:tcW w:w="436"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Fuel and fuel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8,937,810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8,937,810</w:t>
            </w:r>
          </w:p>
        </w:tc>
        <w:tc>
          <w:tcPr>
            <w:tcW w:w="436"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Purchased transportation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52,984,044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52,984,044</w:t>
            </w:r>
          </w:p>
        </w:tc>
        <w:tc>
          <w:tcPr>
            <w:tcW w:w="436"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Truck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7,024,553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7,024,553</w:t>
            </w:r>
          </w:p>
        </w:tc>
        <w:tc>
          <w:tcPr>
            <w:tcW w:w="436"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5,275,039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1,858,658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7,133,697</w:t>
            </w:r>
          </w:p>
        </w:tc>
        <w:tc>
          <w:tcPr>
            <w:tcW w:w="436"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vAlign w:val="center"/>
          </w:tcPr>
          <w:p>
            <w:pPr>
              <w:pStyle w:val="TableContents"/>
              <w:bidi w:val="0"/>
              <w:spacing w:before="0" w:after="283"/>
              <w:jc w:val="left"/>
              <w:rPr/>
            </w:pPr>
            <w:r>
              <w:rPr/>
              <w:t> </w:t>
            </w:r>
          </w:p>
        </w:tc>
        <w:tc>
          <w:tcPr>
            <w:tcW w:w="1459" w:type="dxa"/>
            <w:tcBorders>
              <w:bottom w:val="single" w:sz="12" w:space="0" w:color="000000"/>
            </w:tcBorders>
            <w:shd w:fill="CCEEFF" w:val="clear"/>
            <w:vAlign w:val="center"/>
          </w:tcPr>
          <w:p>
            <w:pPr>
              <w:pStyle w:val="TableContents"/>
              <w:bidi w:val="0"/>
              <w:spacing w:before="0" w:after="283"/>
              <w:jc w:val="right"/>
              <w:rPr/>
            </w:pPr>
            <w:r>
              <w:rPr/>
              <w:t>5,146,701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3,852,325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8,999,026</w:t>
            </w:r>
          </w:p>
        </w:tc>
        <w:tc>
          <w:tcPr>
            <w:tcW w:w="436" w:type="dxa"/>
            <w:tcBorders/>
            <w:shd w:fill="CCEEFF" w:val="clear"/>
            <w:tcMar>
              <w:bottom w:w="0" w:type="dxa"/>
            </w:tcMar>
            <w:vAlign w:val="center"/>
          </w:tcPr>
          <w:p>
            <w:pPr>
              <w:pStyle w:val="TableContents"/>
              <w:bidi w:val="0"/>
              <w:spacing w:before="0" w:after="283"/>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b/>
              </w:rPr>
            </w:pPr>
            <w:r>
              <w:rPr>
                <w:b/>
              </w:rPr>
              <w:t>Segment Operating Profit/(Loss)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1459" w:type="dxa"/>
            <w:tcBorders/>
            <w:shd w:fill="FFFFFF" w:val="clear"/>
            <w:tcMar>
              <w:bottom w:w="0" w:type="dxa"/>
            </w:tcMar>
            <w:vAlign w:val="center"/>
          </w:tcPr>
          <w:p>
            <w:pPr>
              <w:pStyle w:val="TableContents"/>
              <w:bidi w:val="0"/>
              <w:spacing w:before="0" w:after="283"/>
              <w:jc w:val="right"/>
              <w:rPr/>
            </w:pPr>
            <w:r>
              <w:rPr/>
              <w:t>(2,446,929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6,529,824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4,082,895</w:t>
            </w:r>
          </w:p>
        </w:tc>
        <w:tc>
          <w:tcPr>
            <w:tcW w:w="436" w:type="dxa"/>
            <w:tcBorders/>
            <w:shd w:fill="FFFFFF" w:val="clear"/>
            <w:tcMar>
              <w:bottom w:w="0" w:type="dxa"/>
            </w:tcMar>
            <w:vAlign w:val="center"/>
          </w:tcPr>
          <w:p>
            <w:pPr>
              <w:pStyle w:val="TableContents"/>
              <w:bidi w:val="0"/>
              <w:spacing w:before="0" w:after="283"/>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i/>
              </w:rPr>
            </w:pPr>
            <w:r>
              <w:rPr>
                <w:i/>
              </w:rPr>
              <w:t>Reconciliation of segment operating profit to income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Other profit/(loss)(2)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(7,317,926</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19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(1,432,046</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w:t>
            </w:r>
          </w:p>
        </w:tc>
      </w:tr>
      <w:tr>
        <w:trPr/>
        <w:tc>
          <w:tcPr>
            <w:tcW w:w="5190" w:type="dxa"/>
            <w:tcBorders/>
            <w:shd w:fill="FFFFFF" w:val="clear"/>
            <w:tcMar>
              <w:bottom w:w="0" w:type="dxa"/>
            </w:tcMar>
            <w:vAlign w:val="center"/>
          </w:tcPr>
          <w:p>
            <w:pPr>
              <w:pStyle w:val="TableContents"/>
              <w:bidi w:val="0"/>
              <w:spacing w:before="0" w:after="283"/>
              <w:jc w:val="left"/>
              <w:rPr/>
            </w:pPr>
            <w:r>
              <w:rPr/>
              <w:t>Acquisition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(23,736</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190" w:type="dxa"/>
            <w:tcBorders/>
            <w:shd w:fill="CCEEFF" w:val="clear"/>
            <w:tcMar>
              <w:bottom w:w="0" w:type="dxa"/>
            </w:tcMar>
            <w:vAlign w:val="center"/>
          </w:tcPr>
          <w:p>
            <w:pPr>
              <w:pStyle w:val="TableContents"/>
              <w:bidi w:val="0"/>
              <w:spacing w:before="0" w:after="283"/>
              <w:jc w:val="left"/>
              <w:rPr/>
            </w:pPr>
            <w:r>
              <w:rPr/>
              <w:t>Other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(19,089</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w:t>
            </w:r>
          </w:p>
        </w:tc>
      </w:tr>
      <w:tr>
        <w:trPr/>
        <w:tc>
          <w:tcPr>
            <w:tcW w:w="5190" w:type="dxa"/>
            <w:tcBorders/>
            <w:shd w:fill="FFFFFF" w:val="clear"/>
            <w:tcMar>
              <w:bottom w:w="0" w:type="dxa"/>
            </w:tcMar>
            <w:vAlign w:val="center"/>
          </w:tcPr>
          <w:p>
            <w:pPr>
              <w:pStyle w:val="TableContents"/>
              <w:bidi w:val="0"/>
              <w:spacing w:before="0" w:after="283"/>
              <w:jc w:val="left"/>
              <w:rPr>
                <w:b/>
              </w:rPr>
            </w:pPr>
            <w:r>
              <w:rPr>
                <w:b/>
              </w:rPr>
              <w:t>Income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 </w:t>
            </w:r>
          </w:p>
        </w:tc>
        <w:tc>
          <w:tcPr>
            <w:tcW w:w="1220" w:type="dxa"/>
            <w:tcBorders>
              <w:bottom w:val="double" w:sz="10" w:space="0" w:color="000000"/>
            </w:tcBorders>
            <w:shd w:fill="FFFFFF" w:val="clear"/>
            <w:vAlign w:val="center"/>
          </w:tcPr>
          <w:p>
            <w:pPr>
              <w:pStyle w:val="TableContents"/>
              <w:bidi w:val="0"/>
              <w:spacing w:before="0" w:after="283"/>
              <w:jc w:val="right"/>
              <w:rPr/>
            </w:pPr>
            <w:r>
              <w:rPr/>
              <w:t>(4,709,902</w:t>
            </w:r>
          </w:p>
        </w:tc>
        <w:tc>
          <w:tcPr>
            <w:tcW w:w="436" w:type="dxa"/>
            <w:tcBorders/>
            <w:shd w:fill="FFFFFF" w:val="clear"/>
            <w:tcMar>
              <w:bottom w:w="0" w:type="dxa"/>
            </w:tcMar>
            <w:vAlign w:val="center"/>
          </w:tcPr>
          <w:p>
            <w:pPr>
              <w:pStyle w:val="TableContents"/>
              <w:bidi w:val="0"/>
              <w:spacing w:before="0" w:after="283"/>
              <w:ind w:left="0" w:right="0" w:firstLine="220"/>
              <w:jc w:val="left"/>
              <w:rPr/>
            </w:pPr>
            <w:r>
              <w:rPr/>
              <w:t>)</w:t>
            </w:r>
          </w:p>
        </w:tc>
      </w:tr>
      <w:tr>
        <w:trPr/>
        <w:tc>
          <w:tcPr>
            <w:tcW w:w="5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b/>
              </w:rPr>
            </w:pPr>
            <w:r>
              <w:rPr>
                <w:b/>
              </w:rPr>
              <w:t>Other Segment Disclosures: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pPr>
            <w:r>
              <w:rPr/>
              <w:t>Depreciation and amortization</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1459" w:type="dxa"/>
            <w:tcBorders/>
            <w:shd w:fill="CCEEFF" w:val="clear"/>
            <w:tcMar>
              <w:bottom w:w="0" w:type="dxa"/>
            </w:tcMar>
            <w:vAlign w:val="center"/>
          </w:tcPr>
          <w:p>
            <w:pPr>
              <w:pStyle w:val="TableContents"/>
              <w:bidi w:val="0"/>
              <w:spacing w:before="0" w:after="283"/>
              <w:jc w:val="right"/>
              <w:rPr/>
            </w:pPr>
            <w:r>
              <w:rPr/>
              <w:t>5,275,039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1,858,658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7,133,697</w:t>
            </w:r>
          </w:p>
        </w:tc>
        <w:tc>
          <w:tcPr>
            <w:tcW w:w="436"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FFFFFF" w:val="clear"/>
            <w:tcMar>
              <w:bottom w:w="0" w:type="dxa"/>
            </w:tcMar>
            <w:vAlign w:val="center"/>
          </w:tcPr>
          <w:p>
            <w:pPr>
              <w:pStyle w:val="TableContents"/>
              <w:bidi w:val="0"/>
              <w:spacing w:before="0" w:after="283"/>
              <w:jc w:val="left"/>
              <w:rPr/>
            </w:pPr>
            <w:r>
              <w:rPr/>
              <w:t>Intangible amortization</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2,414,751</w:t>
            </w:r>
          </w:p>
        </w:tc>
        <w:tc>
          <w:tcPr>
            <w:tcW w:w="436"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190" w:type="dxa"/>
            <w:tcBorders/>
            <w:shd w:fill="CCEEFF" w:val="clear"/>
            <w:tcMar>
              <w:bottom w:w="0" w:type="dxa"/>
            </w:tcMar>
            <w:vAlign w:val="center"/>
          </w:tcPr>
          <w:p>
            <w:pPr>
              <w:pStyle w:val="TableContents"/>
              <w:bidi w:val="0"/>
              <w:spacing w:before="0" w:after="283"/>
              <w:jc w:val="left"/>
              <w:rPr>
                <w:b/>
              </w:rPr>
            </w:pPr>
            <w:r>
              <w:rPr>
                <w:b/>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220" w:type="dxa"/>
            <w:tcBorders>
              <w:bottom w:val="double" w:sz="10" w:space="0" w:color="000000"/>
            </w:tcBorders>
            <w:shd w:fill="CCEEFF" w:val="clear"/>
            <w:vAlign w:val="center"/>
          </w:tcPr>
          <w:p>
            <w:pPr>
              <w:pStyle w:val="TableContents"/>
              <w:bidi w:val="0"/>
              <w:spacing w:before="0" w:after="283"/>
              <w:jc w:val="right"/>
              <w:rPr/>
            </w:pPr>
            <w:r>
              <w:rPr/>
              <w:t>9,548,448</w:t>
            </w:r>
          </w:p>
        </w:tc>
        <w:tc>
          <w:tcPr>
            <w:tcW w:w="43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osition w:val="8"/>
                <w:sz w:val="19"/>
              </w:rPr>
            </w:pPr>
            <w:r>
              <w:rPr>
                <w:position w:val="8"/>
                <w:sz w:val="19"/>
              </w:rPr>
              <w:t>(1)</w:t>
            </w:r>
          </w:p>
        </w:tc>
        <w:tc>
          <w:tcPr>
            <w:tcW w:w="9969" w:type="dxa"/>
            <w:tcBorders/>
            <w:vAlign w:val="center"/>
          </w:tcPr>
          <w:p>
            <w:pPr>
              <w:pStyle w:val="TableContents"/>
              <w:bidi w:val="0"/>
              <w:spacing w:before="0" w:after="283"/>
              <w:jc w:val="both"/>
              <w:rPr/>
            </w:pPr>
            <w:r>
              <w:rPr/>
              <w:t>Other segment items for each reportable segment include General, selling, and other operating expenses, Gain on sale of equipment and Insurance premiums and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osition w:val="8"/>
                <w:sz w:val="19"/>
              </w:rPr>
            </w:pPr>
            <w:r>
              <w:rPr>
                <w:position w:val="8"/>
                <w:sz w:val="19"/>
              </w:rPr>
              <w:t>(2)</w:t>
            </w:r>
          </w:p>
        </w:tc>
        <w:tc>
          <w:tcPr>
            <w:tcW w:w="9996" w:type="dxa"/>
            <w:tcBorders/>
            <w:vAlign w:val="center"/>
          </w:tcPr>
          <w:p>
            <w:pPr>
              <w:pStyle w:val="TableContents"/>
              <w:bidi w:val="0"/>
              <w:spacing w:before="0" w:after="283"/>
              <w:jc w:val="both"/>
              <w:rPr/>
            </w:pPr>
            <w:r>
              <w:rPr/>
              <w:t>Other profit/(loss) relates to items not included within the Company’s measure of Segment Operating profit / (loss), these include corporate and unallocated expenses which were not included within the measures of segment profitability regularly reviewed by the CODM. These include $1,839,835 in Salaries, wages and benefits, $1,346,248 in Stock Based Compensation, $37,542 in Depreciation and amortization, $2,414,751 in Intangible Amortization, $307,653 in Insurance Premiums and Claims, and $1,371,897 in General Selling, and other 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osition w:val="8"/>
                <w:sz w:val="19"/>
              </w:rPr>
            </w:pPr>
            <w:r>
              <w:rPr>
                <w:position w:val="8"/>
                <w:sz w:val="19"/>
              </w:rPr>
              <w:t>(3)</w:t>
            </w:r>
          </w:p>
        </w:tc>
        <w:tc>
          <w:tcPr>
            <w:tcW w:w="9959" w:type="dxa"/>
            <w:tcBorders/>
            <w:vAlign w:val="center"/>
          </w:tcPr>
          <w:p>
            <w:pPr>
              <w:pStyle w:val="TableContents"/>
              <w:bidi w:val="0"/>
              <w:spacing w:before="0" w:after="283"/>
              <w:jc w:val="both"/>
              <w:rPr/>
            </w:pPr>
            <w:r>
              <w:rPr/>
              <w:t>The amounts of depreciation and amortization disclosed by reportable segment are included within the other segment items captions.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10"/>
        <w:gridCol w:w="60"/>
        <w:gridCol w:w="140"/>
        <w:gridCol w:w="1100"/>
        <w:gridCol w:w="60"/>
        <w:gridCol w:w="60"/>
        <w:gridCol w:w="140"/>
        <w:gridCol w:w="1220"/>
        <w:gridCol w:w="60"/>
        <w:gridCol w:w="60"/>
        <w:gridCol w:w="140"/>
        <w:gridCol w:w="1220"/>
        <w:gridCol w:w="435"/>
      </w:tblGrid>
      <w:tr>
        <w:trPr/>
        <w:tc>
          <w:tcPr>
            <w:tcW w:w="5510" w:type="dxa"/>
            <w:tcBorders>
              <w:bottom w:val="single" w:sz="12" w:space="0" w:color="000000"/>
            </w:tcBorders>
            <w:vAlign w:val="center"/>
          </w:tcPr>
          <w:p>
            <w:pPr>
              <w:pStyle w:val="TableContents"/>
              <w:bidi w:val="0"/>
              <w:spacing w:before="0" w:after="283"/>
              <w:jc w:val="left"/>
              <w:rPr>
                <w:b/>
              </w:rPr>
            </w:pPr>
            <w:r>
              <w:rPr>
                <w:b/>
              </w:rPr>
              <w:t>Six Months Ended June 30, 2025</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Company</w:t>
              <w:br/>
              <w:t>Drivers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Subhaulers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435" w:type="dxa"/>
            <w:tcBorders/>
            <w:tcMar>
              <w:bottom w:w="0" w:type="dxa"/>
            </w:tcMar>
            <w:vAlign w:val="center"/>
          </w:tcPr>
          <w:p>
            <w:pPr>
              <w:pStyle w:val="TableContents"/>
              <w:bidi w:val="0"/>
              <w:spacing w:before="0" w:after="283"/>
              <w:jc w:val="left"/>
              <w:rPr/>
            </w:pPr>
            <w:r>
              <w:rPr/>
              <w:t> </w:t>
            </w:r>
          </w:p>
        </w:tc>
      </w:tr>
      <w:tr>
        <w:trPr/>
        <w:tc>
          <w:tcPr>
            <w:tcW w:w="5510" w:type="dxa"/>
            <w:tcBorders/>
            <w:tcMar>
              <w:bottom w:w="0" w:type="dxa"/>
            </w:tcMar>
            <w:vAlign w:val="center"/>
          </w:tcPr>
          <w:p>
            <w:pPr>
              <w:pStyle w:val="TableContents"/>
              <w:bidi w:val="0"/>
              <w:spacing w:before="0" w:after="283"/>
              <w:jc w:val="left"/>
              <w:rPr>
                <w:b/>
              </w:rPr>
            </w:pPr>
            <w:r>
              <w:rPr>
                <w:b/>
              </w:rPr>
              <w:t>Revenue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left"/>
              <w:rPr/>
            </w:pPr>
            <w:r>
              <w:rPr/>
              <w:t> </w:t>
            </w:r>
          </w:p>
        </w:tc>
        <w:tc>
          <w:tcPr>
            <w:tcW w:w="435" w:type="dxa"/>
            <w:tcBorders/>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pPr>
            <w:r>
              <w:rPr/>
              <w:t>Revenue, before fuel surcharge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69,095,538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125,891,949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194,987,487</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Fuel surcharge and other reimbursements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4,070,760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8,159,335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12,230,095</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pPr>
            <w:r>
              <w:rPr/>
              <w:t>Other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961,188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1,032,679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1,993,867</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Lease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1,541,158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1,541,158</w:t>
            </w:r>
          </w:p>
        </w:tc>
        <w:tc>
          <w:tcPr>
            <w:tcW w:w="435"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b/>
              </w:rPr>
            </w:pPr>
            <w:r>
              <w:rPr>
                <w:b/>
              </w:rPr>
              <w:t>Segment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74,127,486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136,625,121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220" w:type="dxa"/>
            <w:tcBorders>
              <w:bottom w:val="single" w:sz="12" w:space="0" w:color="000000"/>
            </w:tcBorders>
            <w:shd w:fill="CCEEFF" w:val="clear"/>
            <w:vAlign w:val="center"/>
          </w:tcPr>
          <w:p>
            <w:pPr>
              <w:pStyle w:val="TableContents"/>
              <w:bidi w:val="0"/>
              <w:spacing w:before="0" w:after="283"/>
              <w:jc w:val="right"/>
              <w:rPr/>
            </w:pPr>
            <w:r>
              <w:rPr/>
              <w:t>210,752,607</w:t>
            </w:r>
          </w:p>
        </w:tc>
        <w:tc>
          <w:tcPr>
            <w:tcW w:w="435"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b/>
              </w:rPr>
            </w:pPr>
            <w:r>
              <w:rPr>
                <w:b/>
              </w:rPr>
              <w:t>Total consolidated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210,752,607</w:t>
            </w:r>
          </w:p>
        </w:tc>
        <w:tc>
          <w:tcPr>
            <w:tcW w:w="435"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b/>
              </w:rPr>
            </w:pPr>
            <w:r>
              <w:rPr>
                <w:b/>
              </w:rPr>
              <w:t>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5"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Salaries, wages and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28,621,437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10,379,429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39,000,866</w:t>
            </w:r>
          </w:p>
        </w:tc>
        <w:tc>
          <w:tcPr>
            <w:tcW w:w="435"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pPr>
            <w:r>
              <w:rPr/>
              <w:t>Fuel and fuel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12,845,111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12,845,111</w:t>
            </w:r>
          </w:p>
        </w:tc>
        <w:tc>
          <w:tcPr>
            <w:tcW w:w="435"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Purchased transportation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106,156,861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106,156,861</w:t>
            </w:r>
          </w:p>
        </w:tc>
        <w:tc>
          <w:tcPr>
            <w:tcW w:w="435"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pPr>
            <w:r>
              <w:rPr/>
              <w:t>Truck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12,288,270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12,288,270</w:t>
            </w:r>
          </w:p>
        </w:tc>
        <w:tc>
          <w:tcPr>
            <w:tcW w:w="435"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10,314,684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3,785,736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14,100,420</w:t>
            </w:r>
          </w:p>
        </w:tc>
        <w:tc>
          <w:tcPr>
            <w:tcW w:w="435"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6,380,275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8,699,145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15,079,420</w:t>
            </w:r>
          </w:p>
        </w:tc>
        <w:tc>
          <w:tcPr>
            <w:tcW w:w="435"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b/>
              </w:rPr>
            </w:pPr>
            <w:r>
              <w:rPr>
                <w:b/>
              </w:rPr>
              <w:t>Segment Operating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3,677,709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7,603,950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11,281,659</w:t>
            </w:r>
          </w:p>
        </w:tc>
        <w:tc>
          <w:tcPr>
            <w:tcW w:w="435"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i/>
              </w:rPr>
            </w:pPr>
            <w:r>
              <w:rPr>
                <w:i/>
              </w:rPr>
              <w:t>Reconciliation of segment operating profit to income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Other profit/(loss)</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(13,518,807</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51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(3,408,796</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w:t>
            </w:r>
          </w:p>
        </w:tc>
      </w:tr>
      <w:tr>
        <w:trPr/>
        <w:tc>
          <w:tcPr>
            <w:tcW w:w="5510" w:type="dxa"/>
            <w:tcBorders/>
            <w:shd w:fill="FFFFFF" w:val="clear"/>
            <w:tcMar>
              <w:bottom w:w="0" w:type="dxa"/>
            </w:tcMar>
            <w:vAlign w:val="center"/>
          </w:tcPr>
          <w:p>
            <w:pPr>
              <w:pStyle w:val="TableContents"/>
              <w:bidi w:val="0"/>
              <w:spacing w:before="0" w:after="283"/>
              <w:jc w:val="left"/>
              <w:rPr/>
            </w:pPr>
            <w:r>
              <w:rPr/>
              <w:t>Acquisition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(311,807</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510" w:type="dxa"/>
            <w:tcBorders/>
            <w:shd w:fill="CCEEFF" w:val="clear"/>
            <w:tcMar>
              <w:bottom w:w="0" w:type="dxa"/>
            </w:tcMar>
            <w:vAlign w:val="center"/>
          </w:tcPr>
          <w:p>
            <w:pPr>
              <w:pStyle w:val="TableContents"/>
              <w:bidi w:val="0"/>
              <w:spacing w:before="0" w:after="283"/>
              <w:jc w:val="left"/>
              <w:rPr/>
            </w:pPr>
            <w:r>
              <w:rPr/>
              <w:t>Other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181,291</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b/>
              </w:rPr>
            </w:pPr>
            <w:r>
              <w:rPr>
                <w:b/>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(5,776,460</w:t>
            </w:r>
          </w:p>
        </w:tc>
        <w:tc>
          <w:tcPr>
            <w:tcW w:w="435" w:type="dxa"/>
            <w:tcBorders/>
            <w:shd w:fill="FFFFFF" w:val="clear"/>
            <w:tcMar>
              <w:bottom w:w="0" w:type="dxa"/>
            </w:tcMar>
            <w:vAlign w:val="center"/>
          </w:tcPr>
          <w:p>
            <w:pPr>
              <w:pStyle w:val="TableContents"/>
              <w:bidi w:val="0"/>
              <w:spacing w:before="0" w:after="283"/>
              <w:ind w:left="0" w:right="0" w:firstLine="220"/>
              <w:jc w:val="left"/>
              <w:rPr/>
            </w:pPr>
            <w:r>
              <w:rPr/>
              <w:t>)</w:t>
            </w:r>
          </w:p>
        </w:tc>
      </w:tr>
      <w:tr>
        <w:trPr/>
        <w:tc>
          <w:tcPr>
            <w:tcW w:w="5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b/>
              </w:rPr>
            </w:pPr>
            <w:r>
              <w:rPr>
                <w:b/>
              </w:rPr>
              <w:t>Other Segment Disclosures: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pPr>
            <w:r>
              <w:rPr/>
              <w:t>Depreciation</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10,314,684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3,785,736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14,100,420</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Intangible amortization</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4,870,471</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510" w:type="dxa"/>
            <w:tcBorders/>
            <w:shd w:fill="CCEEFF" w:val="clear"/>
            <w:tcMar>
              <w:bottom w:w="0" w:type="dxa"/>
            </w:tcMar>
            <w:vAlign w:val="center"/>
          </w:tcPr>
          <w:p>
            <w:pPr>
              <w:pStyle w:val="TableContents"/>
              <w:bidi w:val="0"/>
              <w:spacing w:before="0" w:after="283"/>
              <w:jc w:val="left"/>
              <w:rPr>
                <w:b/>
              </w:rPr>
            </w:pPr>
            <w:r>
              <w:rPr>
                <w:b/>
              </w:rPr>
              <w:t>Consolidated 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18,970,891</w:t>
            </w:r>
          </w:p>
        </w:tc>
        <w:tc>
          <w:tcPr>
            <w:tcW w:w="4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osition w:val="8"/>
                <w:sz w:val="19"/>
              </w:rPr>
            </w:pPr>
            <w:r>
              <w:rPr>
                <w:position w:val="8"/>
                <w:sz w:val="19"/>
              </w:rPr>
              <w:t>(1)</w:t>
            </w:r>
          </w:p>
        </w:tc>
        <w:tc>
          <w:tcPr>
            <w:tcW w:w="9969" w:type="dxa"/>
            <w:tcBorders/>
            <w:vAlign w:val="center"/>
          </w:tcPr>
          <w:p>
            <w:pPr>
              <w:pStyle w:val="TableContents"/>
              <w:bidi w:val="0"/>
              <w:spacing w:before="0" w:after="283"/>
              <w:jc w:val="both"/>
              <w:rPr/>
            </w:pPr>
            <w:r>
              <w:rPr/>
              <w:t>Other segment items for each reportable segment include General, selling, and other operating expenses, Gain on sale of equipment and Insurance premiums and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osition w:val="8"/>
                <w:sz w:val="19"/>
              </w:rPr>
            </w:pPr>
            <w:r>
              <w:rPr>
                <w:position w:val="8"/>
                <w:sz w:val="19"/>
              </w:rPr>
              <w:t>(2)</w:t>
            </w:r>
          </w:p>
        </w:tc>
        <w:tc>
          <w:tcPr>
            <w:tcW w:w="9996" w:type="dxa"/>
            <w:tcBorders/>
            <w:vAlign w:val="center"/>
          </w:tcPr>
          <w:p>
            <w:pPr>
              <w:pStyle w:val="TableContents"/>
              <w:bidi w:val="0"/>
              <w:spacing w:before="0" w:after="283"/>
              <w:jc w:val="both"/>
              <w:rPr/>
            </w:pPr>
            <w:r>
              <w:rPr/>
              <w:t>Other profit/(loss) relates to items not included within the Company’s measure of Segment Operating profit / (loss), these include corporate and unallocated expenses which were not included within the measures of segment profitability regularly reviewed by the CODM. These include $2,743,930 in Salaries, wages and benefits, $2,404,506 in Stock Based Compensation, $35,139 in Depreciation and amortization, $4,870,471 in Intangible Amortization, $592,065 in Insurance Premiums and Claims, and $2,872,696 in General Selling, and other 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osition w:val="8"/>
                <w:sz w:val="19"/>
              </w:rPr>
            </w:pPr>
            <w:r>
              <w:rPr>
                <w:position w:val="8"/>
                <w:sz w:val="19"/>
              </w:rPr>
              <w:t>(3)</w:t>
            </w:r>
          </w:p>
        </w:tc>
        <w:tc>
          <w:tcPr>
            <w:tcW w:w="9951" w:type="dxa"/>
            <w:tcBorders/>
            <w:vAlign w:val="center"/>
          </w:tcPr>
          <w:p>
            <w:pPr>
              <w:pStyle w:val="TableContents"/>
              <w:bidi w:val="0"/>
              <w:spacing w:before="0" w:after="283"/>
              <w:jc w:val="both"/>
              <w:rPr/>
            </w:pPr>
            <w:r>
              <w:rPr/>
              <w:t>The amounts of depreciation disclosed by reportable segment are included within the other segment items captions.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0"/>
        <w:gridCol w:w="60"/>
        <w:gridCol w:w="140"/>
        <w:gridCol w:w="1100"/>
        <w:gridCol w:w="60"/>
        <w:gridCol w:w="60"/>
        <w:gridCol w:w="140"/>
        <w:gridCol w:w="1100"/>
        <w:gridCol w:w="60"/>
        <w:gridCol w:w="60"/>
        <w:gridCol w:w="140"/>
        <w:gridCol w:w="1220"/>
        <w:gridCol w:w="435"/>
      </w:tblGrid>
      <w:tr>
        <w:trPr/>
        <w:tc>
          <w:tcPr>
            <w:tcW w:w="5630"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Company</w:t>
              <w:br/>
              <w:t>Drivers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Subhaulers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435" w:type="dxa"/>
            <w:tcBorders/>
            <w:tcMar>
              <w:bottom w:w="0" w:type="dxa"/>
            </w:tcMar>
            <w:vAlign w:val="center"/>
          </w:tcPr>
          <w:p>
            <w:pPr>
              <w:pStyle w:val="TableContents"/>
              <w:bidi w:val="0"/>
              <w:spacing w:before="0" w:after="283"/>
              <w:jc w:val="left"/>
              <w:rPr/>
            </w:pPr>
            <w:r>
              <w:rPr/>
              <w:t> </w:t>
            </w:r>
          </w:p>
        </w:tc>
      </w:tr>
      <w:tr>
        <w:trPr/>
        <w:tc>
          <w:tcPr>
            <w:tcW w:w="5630" w:type="dxa"/>
            <w:tcBorders/>
            <w:tcMar>
              <w:bottom w:w="0" w:type="dxa"/>
            </w:tcMar>
            <w:vAlign w:val="center"/>
          </w:tcPr>
          <w:p>
            <w:pPr>
              <w:pStyle w:val="TableContents"/>
              <w:bidi w:val="0"/>
              <w:spacing w:before="0" w:after="283"/>
              <w:jc w:val="left"/>
              <w:rPr>
                <w:b/>
              </w:rPr>
            </w:pPr>
            <w:r>
              <w:rPr>
                <w:b/>
              </w:rPr>
              <w:t>Revenue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left"/>
              <w:rPr/>
            </w:pPr>
            <w:r>
              <w:rPr/>
              <w:t> </w:t>
            </w:r>
          </w:p>
        </w:tc>
        <w:tc>
          <w:tcPr>
            <w:tcW w:w="435" w:type="dxa"/>
            <w:tcBorders/>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Revenue, before fuel surcharge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38,619,199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68,753,160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107,372,359</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Fuel surcharge and other reimbursements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2,721,177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4,081,078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6,802,255</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Other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112,692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575,430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688,122</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Lease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683,850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683,850</w:t>
            </w:r>
          </w:p>
        </w:tc>
        <w:tc>
          <w:tcPr>
            <w:tcW w:w="43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b/>
              </w:rPr>
            </w:pPr>
            <w:r>
              <w:rPr>
                <w:b/>
              </w:rPr>
              <w:t>Segment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41,453,068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74,093,518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220" w:type="dxa"/>
            <w:tcBorders>
              <w:bottom w:val="single" w:sz="12" w:space="0" w:color="000000"/>
            </w:tcBorders>
            <w:shd w:fill="CCEEFF" w:val="clear"/>
            <w:vAlign w:val="center"/>
          </w:tcPr>
          <w:p>
            <w:pPr>
              <w:pStyle w:val="TableContents"/>
              <w:bidi w:val="0"/>
              <w:spacing w:before="0" w:after="283"/>
              <w:jc w:val="right"/>
              <w:rPr/>
            </w:pPr>
            <w:r>
              <w:rPr/>
              <w:t>115,546,586</w:t>
            </w:r>
          </w:p>
        </w:tc>
        <w:tc>
          <w:tcPr>
            <w:tcW w:w="435"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Total consolidated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115,546,586</w:t>
            </w:r>
          </w:p>
        </w:tc>
        <w:tc>
          <w:tcPr>
            <w:tcW w:w="43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b/>
              </w:rPr>
            </w:pPr>
            <w:r>
              <w:rPr>
                <w:b/>
              </w:rPr>
              <w:t>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5"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Salaries, wages and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16,662,947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4,703,414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21,366,361</w:t>
            </w:r>
          </w:p>
        </w:tc>
        <w:tc>
          <w:tcPr>
            <w:tcW w:w="435"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Fuel and fuel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6,779,856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6,779,856</w:t>
            </w:r>
          </w:p>
        </w:tc>
        <w:tc>
          <w:tcPr>
            <w:tcW w:w="435"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Purchased transportation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58,948,018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58,948,018</w:t>
            </w:r>
          </w:p>
        </w:tc>
        <w:tc>
          <w:tcPr>
            <w:tcW w:w="435"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Truck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6,438,424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6,438,424</w:t>
            </w:r>
          </w:p>
        </w:tc>
        <w:tc>
          <w:tcPr>
            <w:tcW w:w="435" w:type="dxa"/>
            <w:tcBorders/>
            <w:shd w:fill="CCEEFF" w:val="clear"/>
            <w:tcMar>
              <w:bottom w:w="0" w:type="dxa"/>
            </w:tcMar>
            <w:vAlign w:val="center"/>
          </w:tcPr>
          <w:p>
            <w:pPr>
              <w:pStyle w:val="TableContents"/>
              <w:bidi w:val="0"/>
              <w:spacing w:before="0" w:after="283"/>
              <w:ind w:left="0" w:right="0" w:firstLine="36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5,588,144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2,032,888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7,621,032</w:t>
            </w:r>
          </w:p>
        </w:tc>
        <w:tc>
          <w:tcPr>
            <w:tcW w:w="435" w:type="dxa"/>
            <w:tcBorders/>
            <w:shd w:fill="FFFFFF" w:val="clear"/>
            <w:tcMar>
              <w:bottom w:w="0" w:type="dxa"/>
            </w:tcMar>
            <w:vAlign w:val="center"/>
          </w:tcPr>
          <w:p>
            <w:pPr>
              <w:pStyle w:val="TableContents"/>
              <w:bidi w:val="0"/>
              <w:spacing w:before="0" w:after="283"/>
              <w:ind w:left="0" w:right="0" w:firstLine="36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2,754,013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4,840,640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7,594,653</w:t>
            </w:r>
          </w:p>
        </w:tc>
        <w:tc>
          <w:tcPr>
            <w:tcW w:w="435"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Segment Operating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3,229,684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3,568,558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6,798,242</w:t>
            </w:r>
          </w:p>
        </w:tc>
        <w:tc>
          <w:tcPr>
            <w:tcW w:w="43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i/>
              </w:rPr>
            </w:pPr>
            <w:r>
              <w:rPr>
                <w:i/>
              </w:rPr>
              <w:t>Reconciliation of segment operating profit to income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Other profit/(loss)</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(6,672,884</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63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(1,837,876</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w:t>
            </w:r>
          </w:p>
        </w:tc>
      </w:tr>
      <w:tr>
        <w:trPr/>
        <w:tc>
          <w:tcPr>
            <w:tcW w:w="5630" w:type="dxa"/>
            <w:tcBorders/>
            <w:shd w:fill="FFFFFF" w:val="clear"/>
            <w:tcMar>
              <w:bottom w:w="0" w:type="dxa"/>
            </w:tcMar>
            <w:vAlign w:val="center"/>
          </w:tcPr>
          <w:p>
            <w:pPr>
              <w:pStyle w:val="TableContents"/>
              <w:bidi w:val="0"/>
              <w:spacing w:before="0" w:after="283"/>
              <w:jc w:val="left"/>
              <w:rPr/>
            </w:pPr>
            <w:r>
              <w:rPr/>
              <w:t>Acquisition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(274,705</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w:t>
            </w:r>
          </w:p>
        </w:tc>
      </w:tr>
      <w:tr>
        <w:trPr/>
        <w:tc>
          <w:tcPr>
            <w:tcW w:w="5630" w:type="dxa"/>
            <w:tcBorders/>
            <w:shd w:fill="CCEEFF" w:val="clear"/>
            <w:tcMar>
              <w:bottom w:w="0" w:type="dxa"/>
            </w:tcMar>
            <w:vAlign w:val="center"/>
          </w:tcPr>
          <w:p>
            <w:pPr>
              <w:pStyle w:val="TableContents"/>
              <w:bidi w:val="0"/>
              <w:spacing w:before="0" w:after="283"/>
              <w:jc w:val="left"/>
              <w:rPr/>
            </w:pPr>
            <w:r>
              <w:rPr/>
              <w:t>Other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105,069</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(1,882,154</w:t>
            </w:r>
          </w:p>
        </w:tc>
        <w:tc>
          <w:tcPr>
            <w:tcW w:w="435" w:type="dxa"/>
            <w:tcBorders/>
            <w:shd w:fill="FFFFFF" w:val="clear"/>
            <w:tcMar>
              <w:bottom w:w="0" w:type="dxa"/>
            </w:tcMar>
            <w:vAlign w:val="center"/>
          </w:tcPr>
          <w:p>
            <w:pPr>
              <w:pStyle w:val="TableContents"/>
              <w:bidi w:val="0"/>
              <w:spacing w:before="0" w:after="283"/>
              <w:ind w:left="0" w:right="0" w:firstLine="220"/>
              <w:jc w:val="left"/>
              <w:rPr/>
            </w:pPr>
            <w:r>
              <w:rPr/>
              <w:t>)</w:t>
            </w:r>
          </w:p>
        </w:tc>
      </w:tr>
      <w:tr>
        <w:trPr/>
        <w:tc>
          <w:tcPr>
            <w:tcW w:w="56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Other Segment Disclosures: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Depreciation</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5,588,144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2,032,888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7,621,032</w:t>
            </w:r>
          </w:p>
        </w:tc>
        <w:tc>
          <w:tcPr>
            <w:tcW w:w="435" w:type="dxa"/>
            <w:tcBorders/>
            <w:shd w:fill="CCEE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Intangible amortization</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2,454,641</w:t>
            </w:r>
          </w:p>
        </w:tc>
        <w:tc>
          <w:tcPr>
            <w:tcW w:w="435" w:type="dxa"/>
            <w:tcBorders/>
            <w:shd w:fill="FFFFFF" w:val="clear"/>
            <w:tcMar>
              <w:bottom w:w="0" w:type="dxa"/>
            </w:tcMar>
            <w:vAlign w:val="center"/>
          </w:tcPr>
          <w:p>
            <w:pPr>
              <w:pStyle w:val="TableContents"/>
              <w:bidi w:val="0"/>
              <w:spacing w:before="0" w:after="283"/>
              <w:ind w:left="0" w:right="0" w:firstLine="180"/>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b/>
              </w:rPr>
            </w:pPr>
            <w:r>
              <w:rPr>
                <w:b/>
              </w:rPr>
              <w:t>Consolidated 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10,075,673</w:t>
            </w:r>
          </w:p>
        </w:tc>
        <w:tc>
          <w:tcPr>
            <w:tcW w:w="4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osition w:val="8"/>
                <w:sz w:val="19"/>
              </w:rPr>
            </w:pPr>
            <w:r>
              <w:rPr>
                <w:position w:val="8"/>
                <w:sz w:val="19"/>
              </w:rPr>
              <w:t>(1)</w:t>
            </w:r>
          </w:p>
        </w:tc>
        <w:tc>
          <w:tcPr>
            <w:tcW w:w="9969" w:type="dxa"/>
            <w:tcBorders/>
            <w:vAlign w:val="center"/>
          </w:tcPr>
          <w:p>
            <w:pPr>
              <w:pStyle w:val="TableContents"/>
              <w:bidi w:val="0"/>
              <w:spacing w:before="0" w:after="283"/>
              <w:jc w:val="both"/>
              <w:rPr/>
            </w:pPr>
            <w:r>
              <w:rPr/>
              <w:t>Other segment items for each reportable segment include General, selling, and other operating expenses, Gain on sale of equipment and Insurance premiums and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osition w:val="8"/>
                <w:sz w:val="19"/>
              </w:rPr>
            </w:pPr>
            <w:r>
              <w:rPr>
                <w:position w:val="8"/>
                <w:sz w:val="19"/>
              </w:rPr>
              <w:t>(2)</w:t>
            </w:r>
          </w:p>
        </w:tc>
        <w:tc>
          <w:tcPr>
            <w:tcW w:w="9996" w:type="dxa"/>
            <w:tcBorders/>
            <w:vAlign w:val="center"/>
          </w:tcPr>
          <w:p>
            <w:pPr>
              <w:pStyle w:val="TableContents"/>
              <w:bidi w:val="0"/>
              <w:spacing w:before="0" w:after="283"/>
              <w:jc w:val="both"/>
              <w:rPr/>
            </w:pPr>
            <w:r>
              <w:rPr/>
              <w:t>Other profit/(loss) relates to items not included within the Company’s measure of Segment Operating profit / (loss), these include corporate and unallocated expenses which were not included within the measures of segment profitability regularly reviewed by the CODM. These include $1,090,332 in Salaries, wages and benefits, $1,221,497 in Stock Based Compensation, $25,948 in Depreciation and amortization, $2,454,641 in Intangible Amortization, $314,496 in Insurance Premiums and Claims, and $1,565,970 in General Selling, and other 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osition w:val="8"/>
                <w:sz w:val="19"/>
              </w:rPr>
            </w:pPr>
            <w:r>
              <w:rPr>
                <w:position w:val="8"/>
                <w:sz w:val="19"/>
              </w:rPr>
              <w:t>(3)</w:t>
            </w:r>
          </w:p>
        </w:tc>
        <w:tc>
          <w:tcPr>
            <w:tcW w:w="9951" w:type="dxa"/>
            <w:tcBorders/>
            <w:vAlign w:val="center"/>
          </w:tcPr>
          <w:p>
            <w:pPr>
              <w:pStyle w:val="TableContents"/>
              <w:bidi w:val="0"/>
              <w:spacing w:before="0" w:after="283"/>
              <w:jc w:val="both"/>
              <w:rPr/>
            </w:pPr>
            <w:r>
              <w:rPr/>
              <w:t>The amounts of depreciation disclosed by reportable segment are included within the other segment items captions.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based upon the weighted average common shares outstanding during each year. Diluted loss per share is based on the basic weighted earnings per share with additional weighted common shares for common stock equivalents. During the six and three months ended June 30, 2026 and 2025, the Company had outstanding restricted shares of common stock to certain of our employees and directors, under the Company’s restricted stock award plans. The diluted shares include the dilutive effect of restricted and performance stock units based on the treasury stock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numerator (net loss) and denominator (weighted average number of shares outstanding of the basic loss per share) for the six and three months ended June 30, 2026 and 2025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6"/>
        <w:gridCol w:w="60"/>
        <w:gridCol w:w="140"/>
        <w:gridCol w:w="1175"/>
        <w:gridCol w:w="95"/>
        <w:gridCol w:w="60"/>
        <w:gridCol w:w="163"/>
        <w:gridCol w:w="1282"/>
        <w:gridCol w:w="95"/>
        <w:gridCol w:w="60"/>
        <w:gridCol w:w="175"/>
        <w:gridCol w:w="1382"/>
        <w:gridCol w:w="95"/>
        <w:gridCol w:w="60"/>
        <w:gridCol w:w="163"/>
        <w:gridCol w:w="1282"/>
        <w:gridCol w:w="112"/>
      </w:tblGrid>
      <w:tr>
        <w:trPr/>
        <w:tc>
          <w:tcPr>
            <w:tcW w:w="38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112" w:type="dxa"/>
            <w:tcBorders/>
            <w:vAlign w:val="center"/>
          </w:tcPr>
          <w:p>
            <w:pPr>
              <w:pStyle w:val="TableContents"/>
              <w:bidi w:val="0"/>
              <w:spacing w:before="0" w:after="283"/>
              <w:jc w:val="left"/>
              <w:rPr/>
            </w:pPr>
            <w:r>
              <w:rPr/>
              <w:t> </w:t>
            </w:r>
          </w:p>
        </w:tc>
      </w:tr>
      <w:tr>
        <w:trPr/>
        <w:tc>
          <w:tcPr>
            <w:tcW w:w="3806"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380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(10,385,549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pPr>
            <w:r>
              <w:rPr/>
              <w:t>(3,895,448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2" w:type="dxa"/>
            <w:tcBorders>
              <w:bottom w:val="double" w:sz="10" w:space="0" w:color="000000"/>
            </w:tcBorders>
            <w:shd w:fill="CCEEFF" w:val="clear"/>
            <w:tcMar>
              <w:bottom w:w="28" w:type="dxa"/>
            </w:tcMar>
            <w:vAlign w:val="center"/>
          </w:tcPr>
          <w:p>
            <w:pPr>
              <w:pStyle w:val="TableContents"/>
              <w:bidi w:val="0"/>
              <w:spacing w:before="0" w:after="283"/>
              <w:jc w:val="right"/>
              <w:rPr/>
            </w:pPr>
            <w:r>
              <w:rPr/>
              <w:t>(4,748,518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pPr>
            <w:r>
              <w:rPr/>
              <w:t>(1,556,833</w:t>
            </w:r>
          </w:p>
        </w:tc>
        <w:tc>
          <w:tcPr>
            <w:tcW w:w="112" w:type="dxa"/>
            <w:tcBorders/>
            <w:shd w:fill="CCEEFF" w:val="clear"/>
            <w:vAlign w:val="center"/>
          </w:tcPr>
          <w:p>
            <w:pPr>
              <w:pStyle w:val="TableContents"/>
              <w:bidi w:val="0"/>
              <w:spacing w:before="0" w:after="283"/>
              <w:jc w:val="left"/>
              <w:rPr/>
            </w:pPr>
            <w:r>
              <w:rPr/>
              <w:t>)</w:t>
            </w:r>
          </w:p>
        </w:tc>
      </w:tr>
      <w:tr>
        <w:trPr/>
        <w:tc>
          <w:tcPr>
            <w:tcW w:w="3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806"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806" w:type="dxa"/>
            <w:tcBorders/>
            <w:shd w:fill="FFFFFF" w:val="clear"/>
            <w:vAlign w:val="center"/>
          </w:tcPr>
          <w:p>
            <w:pPr>
              <w:pStyle w:val="TableContents"/>
              <w:bidi w:val="0"/>
              <w:spacing w:before="0" w:after="283"/>
              <w:jc w:val="left"/>
              <w:rPr/>
            </w:pPr>
            <w:r>
              <w:rPr/>
              <w:t>Weighted-Average Number of Shares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27,876,507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27,926,011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double" w:sz="10" w:space="0" w:color="000000"/>
            </w:tcBorders>
            <w:shd w:fill="FFFFFF" w:val="clear"/>
            <w:tcMar>
              <w:bottom w:w="28" w:type="dxa"/>
            </w:tcMar>
            <w:vAlign w:val="center"/>
          </w:tcPr>
          <w:p>
            <w:pPr>
              <w:pStyle w:val="TableContents"/>
              <w:bidi w:val="0"/>
              <w:spacing w:before="0" w:after="283"/>
              <w:jc w:val="right"/>
              <w:rPr/>
            </w:pPr>
            <w:r>
              <w:rPr/>
              <w:t>27,341,813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27,611,515</w:t>
            </w:r>
          </w:p>
        </w:tc>
        <w:tc>
          <w:tcPr>
            <w:tcW w:w="112" w:type="dxa"/>
            <w:tcBorders/>
            <w:shd w:fill="FFFFFF" w:val="clear"/>
            <w:vAlign w:val="center"/>
          </w:tcPr>
          <w:p>
            <w:pPr>
              <w:pStyle w:val="TableContents"/>
              <w:bidi w:val="0"/>
              <w:spacing w:before="0" w:after="283"/>
              <w:jc w:val="left"/>
              <w:rPr/>
            </w:pPr>
            <w:r>
              <w:rPr/>
              <w:t> </w:t>
            </w:r>
          </w:p>
        </w:tc>
      </w:tr>
      <w:tr>
        <w:trPr/>
        <w:tc>
          <w:tcPr>
            <w:tcW w:w="3806" w:type="dxa"/>
            <w:tcBorders/>
            <w:shd w:fill="CCEEFF" w:val="clear"/>
            <w:vAlign w:val="center"/>
          </w:tcPr>
          <w:p>
            <w:pPr>
              <w:pStyle w:val="TableContents"/>
              <w:bidi w:val="0"/>
              <w:spacing w:before="0" w:after="283"/>
              <w:jc w:val="left"/>
              <w:rPr/>
            </w:pPr>
            <w:r>
              <w:rPr/>
              <w:t>Basic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2" w:type="dxa"/>
            <w:tcBorders>
              <w:bottom w:val="double" w:sz="10" w:space="0" w:color="000000"/>
            </w:tcBorders>
            <w:shd w:fill="CCEEFF" w:val="clear"/>
            <w:tcMar>
              <w:bottom w:w="28" w:type="dxa"/>
            </w:tcM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excluded 1,152,718, 1,173,140, 1,151,952, and 1,151,445 of RSUs and PSUs from the computation of weighted-average number of shares of common stock in computing the diluted loss per share for the periods presented because including them would have had an anti-dilutive effect for the six and three months ended June 30, 2026 and 2025,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certain claims and pending litigation primarily arising in the normal course of business. The majority of these claims relate to workers compensation, auto collision and liability, and physical and cargo damage. The Company expenses legal fees as incurred and accrues for the uninsured portion of contingent losses from these and other pending claims when it is both probable that a liability has been incurred and the amount of the loss can be reasonably estimated. It is at least reasonably possible that the effect on the financial statements of significant estimates involving contingencies will change within one year of the date of the financial statements due to one or more future confirming events. If such changes occur, they could be material to the financial statements. The Company has disclosed all significant estimates and assumptions that could potentially be affected by future confirming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Contractors Misclassification Class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2016, a truck driver who contracted with Tribeca Automotive, Inc. filed a Complaint in Essex County Superior Court of New Jersey, bringing claims on behalf of himself and those similarly situated against Tribeca and its owners. An amended class complaint was filed in April 2022. The putative class alleges that Tribeca misclassified contracted truck drivers as independent contractors, rather than “employees” under applicable law. As a result, the class seeks overtime and unlawful deductions in violation of New Jersey Wage and Hour Law and New Jersey Wage Payment Law. In June 2026, the parties reached a settlement in principle and executed a class settlement agreement providing for a gross settlement amount of up to $4.0 million, in which Tribeca continues to deny liability. The settlement remains subject to final court approval. The net settlement amount is subject to each class member taking action in response to the Notice of Settlement and therefore cannot be reasonably estimated at this time. We are entitled to indemnification under the Purchase Agreement from the sellers of Tribeca for up to $2.5 million relating to this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and December 2025, respectively, two business owners and truck drivers filed complaints with putative class action claims and representative actions under the Private Attorneys General Act in California state court against certain of the Company's subsidiaries and affiliates. Amended complaints were filed in October 2025 and May 2026, respectively, reducing the scope of claims. The two actions generally allege that certain drivers operating for third-party companies under broker-carrier contracts were improperly classified as independent contractors rather than “employees” under applicable law. Based on these allegations, the plaintiffs seek damages, civil penalties, attorneys’ fees, and other relief under California wage and hour laws. The claims asserted in the two actions are substantially similar and involve overlapping factual allegations, putative class populations, and time periods. The Company’s subsidiaries deny liability and are vigorously defending this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Employee Class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a former employee filed a class action lawsuit against Deluxe Auto Carriers, Inc., in Riverside County Superior Court in California. The lawsuit alleges class claims against Deluxe for unpaid minimum and overtime wages, non-compliant meal and rest periods, unreimbursed business expenses, and inaccurate wage statements, among other claims. A class settlement was reached for $400,000, in which Deluxe continues to deny liability. In February 2026, the settlement was approved by the court, and subsequently paid in April 2026 from amounts previously accrued on the Company’s consolidated balance sheet. We received full reimbursement from the sellers of Deluxe pursuant to the indemnification provisions of the Purchase Agreement, and no related receivable or liability remained outstanding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Civil Complaint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a second amended civil complaint was filed in federal court in South Carolina against the Company, its subsidiaries Tribeca Automotive, Inc. (“Tribeca”) and Proficient Services, Inc. (f/k/a PAL Stock Acquiror, Inc.) and an individual working on behalf of Tribeca arising out of a vehicular accident involving one of Tribeca’s vehicles. In March 2026, the Company settled the case for $3 million in order to avoid the cost, risk and distraction of continued litigation. In May 2026, the settlement was approved by the court and paid from amounts previously accrued on the Company’s consolidated balance sheet.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on which this Form 10-Q was filed, which is also the date on which these financial statements were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10, 2026, the Company entered into a definitive agreement to acquire Hansen &amp; Adkins (H&amp;A), a vehicle logistics platform with a network spanning the United States and Canada, and it closed the transaction on August 13, 2026. The upfront purchase price in the transaction was $130 million, including assumed debt of approximately $75 million. Of the approximately $55 million remaining purchase price, approximately $3 million was paid in shares of Company Common Stock with approximately $52 million paid in cash. The terms of the transaction also provide for potential earnout payments of up to approximately $22.1 million, of which $2 million would be payable in shares of Company Common Stock with the remainder payable in cash. The cash portion of the purchase price was paid with available cash resources and borrowings under the Company’s existing credit facilities. No amounts related to the acquisition are reflected in the Company’s condensed consolidated financial statements for the quarter ended June 30, 2026. The accounting assessment for this transaction is still underway as of the date of this filing.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transaction, the Company also restructured its debt instruments for efficiency, scalability and interest cost savings. As part of this restructuring, the Company issued $75 million aggregate principal amount of convertible senior notes due 2033 (the “senior notes”) in a private offering (the “private offering”) to persons reasonably believed to be qualified institutional buyers in reliance on the exemption from registration provided by Section 4(a)(2) under the Securities Act of 1933, as amended. The issuance and sale of the senior notes settled and closed on August 13, 2026, as anticipated. The senior notes will be senior, unsecured obligations of Proficient and will mature on August 15, 2033, unless earlier repurchased, redeemed or converted.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have been no subsequent events that occurred during such period that would require disclosure in the Form 10-Q or would be required to be recognized in the condensed consolidated financial statements as of and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MANAGEMENT’S DISCUSSION AND ANALYSIS OF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 accompanying unaudited consolidated financial statements and related notes and our Annual Report on Form 10-K for the year ended December 31, 2025 (the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the terms the “Company,” “we,” “us” and “our” refer to Proficient Auto Logistics, Inc. and its subsidiaries as a whole, after giving effect to the Combinations (as defined below) and recent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contains forward-looking statements within the meaning of the Private Securities Litigation Reform Act of 1995, which statements involve substantial risks and uncertainties. Forward-looking statements generally relate to possible or assume future results of our business, financial condition, results of operations, liquidity, plans and objectives. You can generally identify forward-looking statements because they contain words such as “may,” “will,” “should,” “expects,” “plans,” “anticipates,” “could,” “intends,” “target,” “projects,” “contemplates,” “believes,” “estimates,” “predicts,” “potential” or “continue” or the negative of these terms or other similar expressions that concern our expectations, strategy, plans or intentions. We have based these forward-looking statements largely on our current expectations and projections regarding future events and trends that we believe may affect our business, financial condition and results of operations. The outcome of the events described in these forward-looking statements is subject to risks, uncertainties and other factors described in the section entitled “Risk Factors” in this Quarterly Report and the Annual Report, and elsewhere in this Quarterly Report and the Annual Report. Accordingly, you should not rely upon forward-looking statements as predictions of future events. We cannot assure you that the results, events and circumstances reflected in the forward-looking statements will be achieved or occur, and actual results, events or circumstances could differ materially from those projected in the forward-looking statements. The risks, uncertainties, and other factors, which are described in more detail herein and in the documents we file with the Securities and Exchange Commission (the “SEC”), include but are not limited to:</w:t>
      </w:r>
    </w:p>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those related to the private offering of the notes and the use of proceeds therefrom and the capped call transactions;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3"/>
        <w:gridCol w:w="189"/>
        <w:gridCol w:w="9933"/>
      </w:tblGrid>
      <w:tr>
        <w:trPr/>
        <w:tc>
          <w:tcPr>
            <w:tcW w:w="8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satisfaction of the conditions to the closing of the proposed transaction in a timely manner; </w:t>
            </w:r>
          </w:p>
        </w:tc>
      </w:tr>
      <w:tr>
        <w:trPr/>
        <w:tc>
          <w:tcPr>
            <w:tcW w:w="83"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3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4"/>
        <w:gridCol w:w="238"/>
        <w:gridCol w:w="9863"/>
      </w:tblGrid>
      <w:tr>
        <w:trPr/>
        <w:tc>
          <w:tcPr>
            <w:tcW w:w="10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ability to recognize the anticipated benefits of the acquisition of H&amp;A; </w:t>
            </w:r>
          </w:p>
        </w:tc>
      </w:tr>
      <w:tr>
        <w:trPr/>
        <w:tc>
          <w:tcPr>
            <w:tcW w:w="10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risk that disruptions from the acquisition will harm our business, including current plans and operations; </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diversion of management’s time and attention from ordinary course business operations to integration of H&amp;A; </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6"/>
        <w:gridCol w:w="174"/>
        <w:gridCol w:w="9955"/>
      </w:tblGrid>
      <w:tr>
        <w:trPr/>
        <w:tc>
          <w:tcPr>
            <w:tcW w:w="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potential adverse reactions or changes to business relationships resulting from the acquisition of H&amp;A; </w:t>
            </w:r>
          </w:p>
        </w:tc>
      </w:tr>
      <w:tr>
        <w:trPr/>
        <w:tc>
          <w:tcPr>
            <w:tcW w:w="7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outcome of any legal proceedings that may be instituted against the Company in connection with our acquisition of H&amp;A;</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6640" w:type="dxa"/>
        <w:jc w:val="left"/>
        <w:tblInd w:w="0" w:type="dxa"/>
        <w:shd w:fill="FFFFFF" w:val="clear"/>
        <w:tblLayout w:type="fixed"/>
        <w:tblCellMar>
          <w:top w:w="0" w:type="dxa"/>
          <w:left w:w="0" w:type="dxa"/>
          <w:bottom w:w="0" w:type="dxa"/>
          <w:right w:w="0" w:type="dxa"/>
        </w:tblCellMar>
      </w:tblPr>
      <w:tblGrid>
        <w:gridCol w:w="75"/>
        <w:gridCol w:w="170"/>
        <w:gridCol w:w="639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6395" w:type="dxa"/>
            <w:tcBorders/>
            <w:shd w:fill="FFFFFF" w:val="clear"/>
            <w:vAlign w:val="center"/>
          </w:tcPr>
          <w:p>
            <w:pPr>
              <w:pStyle w:val="TableContents"/>
              <w:bidi w:val="0"/>
              <w:spacing w:before="0" w:after="283"/>
              <w:jc w:val="both"/>
              <w:rPr/>
            </w:pPr>
            <w:r>
              <w:rPr/>
              <w:t>the economic conditions in the global markets in which we operate;</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our ability to successfully implement our business strategy, effectively respond to changes in market dynamics and customer preferences, and achieve the anticipated benefits and associated cost savings of such strategies and actions;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our ability to recruit and retain qualified drivers, independent contractors and third-party auto transportation and logistics companies;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9820" w:type="dxa"/>
        <w:jc w:val="left"/>
        <w:tblInd w:w="0" w:type="dxa"/>
        <w:shd w:fill="FFFFFF" w:val="clear"/>
        <w:tblLayout w:type="fixed"/>
        <w:tblCellMar>
          <w:top w:w="0" w:type="dxa"/>
          <w:left w:w="0" w:type="dxa"/>
          <w:bottom w:w="0" w:type="dxa"/>
          <w:right w:w="0" w:type="dxa"/>
        </w:tblCellMar>
      </w:tblPr>
      <w:tblGrid>
        <w:gridCol w:w="75"/>
        <w:gridCol w:w="170"/>
        <w:gridCol w:w="957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575" w:type="dxa"/>
            <w:tcBorders/>
            <w:shd w:fill="FFFFFF" w:val="clear"/>
            <w:vAlign w:val="center"/>
          </w:tcPr>
          <w:p>
            <w:pPr>
              <w:pStyle w:val="TableContents"/>
              <w:bidi w:val="0"/>
              <w:spacing w:before="0" w:after="283"/>
              <w:jc w:val="both"/>
              <w:rPr/>
            </w:pPr>
            <w:r>
              <w:rPr/>
              <w:t>our expectations regarding the successful implementation of the Combinations and other acquisitions;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9055" w:type="dxa"/>
        <w:jc w:val="left"/>
        <w:tblInd w:w="0" w:type="dxa"/>
        <w:shd w:fill="FFFFFF" w:val="clear"/>
        <w:tblLayout w:type="fixed"/>
        <w:tblCellMar>
          <w:top w:w="0" w:type="dxa"/>
          <w:left w:w="0" w:type="dxa"/>
          <w:bottom w:w="0" w:type="dxa"/>
          <w:right w:w="0" w:type="dxa"/>
        </w:tblCellMar>
      </w:tblPr>
      <w:tblGrid>
        <w:gridCol w:w="75"/>
        <w:gridCol w:w="170"/>
        <w:gridCol w:w="881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10" w:type="dxa"/>
            <w:tcBorders/>
            <w:shd w:fill="FFFFFF" w:val="clear"/>
            <w:vAlign w:val="center"/>
          </w:tcPr>
          <w:p>
            <w:pPr>
              <w:pStyle w:val="TableContents"/>
              <w:bidi w:val="0"/>
              <w:spacing w:before="0" w:after="283"/>
              <w:jc w:val="both"/>
              <w:rPr/>
            </w:pPr>
            <w:r>
              <w:rPr/>
              <w:t>geopolitical developments and additional changes in international trade policies and relations;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the effect of any international conflicts or terrorist activities, including the current conflict in the Middle East, and the conflict between Russia and Ukraine, on the United States and global economies in general, the transportation industry, or us in particular, and what effects these events will have on our costs and the demand for our services;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our ability to manage our network capacity and cost structure for capital expenditures and operating expenses, and match it to shifting and future customer volume levels;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7060" w:type="dxa"/>
        <w:jc w:val="left"/>
        <w:tblInd w:w="0" w:type="dxa"/>
        <w:shd w:fill="FFFFFF" w:val="clear"/>
        <w:tblLayout w:type="fixed"/>
        <w:tblCellMar>
          <w:top w:w="0" w:type="dxa"/>
          <w:left w:w="0" w:type="dxa"/>
          <w:bottom w:w="0" w:type="dxa"/>
          <w:right w:w="0" w:type="dxa"/>
        </w:tblCellMar>
      </w:tblPr>
      <w:tblGrid>
        <w:gridCol w:w="75"/>
        <w:gridCol w:w="170"/>
        <w:gridCol w:w="681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6815" w:type="dxa"/>
            <w:tcBorders/>
            <w:shd w:fill="FFFFFF" w:val="clear"/>
            <w:vAlign w:val="center"/>
          </w:tcPr>
          <w:p>
            <w:pPr>
              <w:pStyle w:val="TableContents"/>
              <w:bidi w:val="0"/>
              <w:spacing w:before="0" w:after="283"/>
              <w:jc w:val="both"/>
              <w:rPr/>
            </w:pPr>
            <w:r>
              <w:rPr/>
              <w:t>our ability to compete effectively against current and future competitors;</w:t>
            </w:r>
          </w:p>
        </w:tc>
      </w:tr>
    </w:tbl>
    <w:p>
      <w:pPr>
        <w:pStyle w:val="TextBody"/>
        <w:shd w:fill="FFFFFF" w:val="clear"/>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our dependence on the automotive industry, which is directly affected by such external factors as general economic conditions in the United States, Canada and Mexico, trade policies, including tariffs, unemployment rates, fuel price volatility, labor shortages or strikes, consumer confidence, government policies, continuing activities of war, terrorist activities and the availability of affordable new car financing;</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our ability to maintain our profitability despite quarterly fluctuations in our results, whether due to seasonality, large cyclical events, or other causes; and our future financial and operating results;</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our expectations regarding the period during which we will qualify as an emerging growth company under the JOBS Act; and</w:t>
            </w:r>
          </w:p>
        </w:tc>
      </w:tr>
    </w:tbl>
    <w:p>
      <w:pPr>
        <w:pStyle w:val="TextBody"/>
        <w:shd w:fill="FFFFFF" w:val="clear"/>
        <w:bidi w:val="0"/>
        <w:spacing w:before="0" w:after="0"/>
        <w:ind w:left="960" w:right="0" w:hanging="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the sufficiency of our existing cash to fund our future operating expenses and capital expenditure requirements.</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Quarterly Report. In addition, in light of certain risks and uncertainties, the matters referred to in the forward-looking statements contained in this Quarterly Report may not occur. The forward-looking statements made in this document relate only to events as of the date on which the statements are made. We undertake no obligation to update any forward-looking statement to reflect events or circumstances after the date on which the statement is made or to reflect the occurrence of unanticipated events.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specialized freight company focused on providing auto transportation and logistics services. Formed in connection with the IPO through the combination of five industry-leading operating companies, we operate one of the largest auto transportation fleets in North America with an operating fleet with approximately 800 owned assets and employing 724 dedicated employees as of June 30, 2026. From our 57 strategically located facilities across the United States, we offer a broad range of auto transportation and logistics services, primarily focused on transporting finished vehicles from automotive production facilities, marine ports of entry or regional rail yards to auto dealerships around the country. We have developed a differentiated business model due to our scale, breadth of geographic coverage and embedded customer relationships with leading auto original equipment manufacturing companies (“OEMs”). Our customers include nearly all of the global auto manufacturing companies who participate in the North American market. Additional customers include auto dealers, auto auctions, rental car companies and auto leasing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Combinations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2023, Proficient Auto Logistics, Inc. entered into agreements to acquire in multiple, separate acquisitions, five operating businesses and their respective affiliated entities, as applicable: (i) Delta, (ii) Deluxe, (iii) Sierra, (iv) Proficient Transport, and (v) Tribeca (collectively, the “Founding Companies”). On May 13, 2024, the Company completed the IPO of its common stock, and in connection with the closing of the IPO, the Company also completed the acquisitions of all of the Founding Companies (the “Combinations”). Thereafter, on August 16, 2024, the Company acquired Auto Transport Group, LC, (“ATG,” which was converted to a limited liability company after closing), and on November 1, 2024, the Company acquired Utah Truck &amp; Trailer Repair, LLC, (“UTT,” which subsequently converted into Proficient Repair Services LLC), a repair facility located at the ATG headquarters terminal in Ogden, Utah. On April 1, 2025, the Company acquired Brothers Auto Transport, LLC, (“Brothers”), located in Wind Gap, Pennsylvania and on May 27, 2025, the Company acquired PVT Truck &amp; Trailer Repair, LLC, (“PVT”) a repair facility located at the Brothers headquarters. These acquisitions expanded the Company’s geographic presence and services offered. The Combinations and subsequent acquisitions are accounted for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Under this method of accounting, Proficient Auto Logistics, Inc. is treated as the “accounting acquirer”.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H&amp;A Acquisition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 definitive agreement to acquire Hansen &amp; Adkins (“H&amp;A”), a vehicle logistics platform with a network spanning the United States and Canada, and it closed the transaction on August 13, 2026. The upfront purchase price in the transaction was $130 million, including assumed debt of approximately $75 million. Of the approximately $55 million remaining purchase price, approximately $3 million was paid in shares of Company Common Stock with approximately $52 million paid in cash. The terms of the transaction also provide for potential earnout payments of up to approximately $22.1 million, of which $2 million would be payable in shares of Company Common Stock with the remainder payable in cash. The cash portion of the purchase price was paid with available cash resources and borrowings under the Company’s existing credit facilities. No amounts related to the acquisition are reflected in the Company’s condensed consolidated financial statements for the quarter ended June 30, 2026. The accounting assessment for this transaction is still underway as of the date of this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Notes due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also restructured its debt instruments for efficiency, scalability and interest cost savings. As part of this restructuring, the Company issued $75 million aggregate principal amount of convertible senior notes due 2033 (the “senior notes”) in a private offering (the “private offering”) to persons reasonably believed to be qualified institutional buyers in reliance on the exemption from registration provided by Section 4(a)(2) under the Securities Act of 1933, as amended. The issuance and sale of the senior notes settled and closed on August 13, 2026, as anticipated. The senior notes will be senior, unsecured obligations of the Company and will mature on August 15, 2033, unless earlier repurchased, redeemed or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Components</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by transporting autos for our customers in OEM contract and spot arrangements, secondary market auto moves, and contract services arrangements. Our OEM contract and spot arrangements provide auto transportation and logistics services through movements of autos over routes across the United States. Secondary market auto moves are for customers other than OEMs. Our contract services offering uses Company-owned equipment and third-party capacity to service specific customers and provides services through long-term contracts. Our business provides services that are geographically diversified but have similar economic and other relevant characteristics, as they all provide transportation and logistics of automobiles.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typically paid a predetermined rate per unit for our services. Consistent with industry practice, our typical customer contracts do not guarantee load levels or tractor availability. This gives us and our customers a certain degree of flexibility in response to changes in auto demand and truck capacity.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we receive fuel surcharges on the miles moved for which we are compensated by customers. Fuel surcharges revenue mitigates the effect of price increases over a negotiated base rate per gallon of fuel; however, these revenues may not fully protect us from all fuel price volatility, particularly in times of rapid fuel price increases, due to the lag of the increased price being reflected in fuel surcharges recovery.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significant operating expenses vary with miles traveled and include (i) fuel and fuel taxes, (ii) driver related expenses, such as salaries, wages, benefits, training and recruitment, (iii) the cost of purchased transportation that we pay independent contractors and to third-party carriers and (iv) maintenance of our fleet. Expenses that have both fixed and variable components include maintenance and truck expenses and our total cost of insurance and claims. These expenses generally vary with the miles we travel, but also have a controllable component based on safety, fleet age, efficiency and other factors. Our main fixed costs include depreciation of long-term assets, such as revenue equipment and leasing costs for our service center facilities, the compensation of non-driver personnel and other general and administrative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key operating metrics including the volume of units delivered, average revenue per unit and adjusted operating ratio, as applicable to the portions of our business that contract on each of these bases.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have made a number of estimates and assumptions relating to the reporting of results of operations and financial position in the preparation of our financial statements in conformity with GAAP. Actual results could differ significantly from those estimates under different conditions. We believe that the following discussion addresses our most critical accounting policies, which are those that are most important to the portrayal of our financial condition and results of operations and require management’s most subjective and complex judgments, often as a result of the need to make estimates about the effect of matters that are inherently uncertain. See Note 2 of the accompanying consolidated financial statements of the Company for additional information about our critical accounting policies and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Depreciation of property and equipment is computed using the straight-line method for financial reporting purposes and accelerated methods for tax purposes over the estimated useful lives of the related assets (net of estimated salvage value or trade-in value). We generally use estimated useful lives of five to ten years for trucks and trailers, classified as transportation equipment. The depreciable lives of our revenue equipment represent the estimated usage period of the equipment, which may be more or less than the economic lives.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we evaluate the useful lives and salvage values of our revenue equipment and other long-lived assets based upon, but not limited to, our experience with similar assets including gains or losses upon dispositions of such assets, conditions in the used equipment market and prevailing industry practices. Changes in useful lives or salvage value estimates, or fluctuations in market values that are not reflected in our estimates, could have a material impact on our financial results. We review our property and equipment whenever events or circumstances indicate the carrying amount of the asset may not be recoverable. An impairment loss equal to the excess of carrying amount over fair value would be recognized if the carrying amount of the asset is not recoverable.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Business combinations </w:t>
      </w:r>
      <w:r>
        <w:rPr>
          <w:rFonts w:ascii="Times New Roman;Times;Serif" w:hAnsi="Times New Roman;Times;Serif"/>
          <w:b w:val="false"/>
          <w:i w:val="false"/>
          <w:caps w:val="false"/>
          <w:smallCaps w:val="false"/>
          <w:sz w:val="20"/>
        </w:rPr>
        <w:t xml:space="preserve">— We account for business combinations using the acquisition method pursuant to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For each acquisition, we recognize the assets acquired and liabilities assumed at their respective fair values as of the acquisition date. Valuations of certain assets acquired, including customer relationships, developed technology and trade names involve significant judgment and estimation. We use independent valuation specialists to help determine fair value of certain assets and liabilities. Valuations utilize significant estimates, such as forecasted revenues and profits. Changes in these estimates could significantly impact the value of certain assets and liabilities. ASC 805 establishes a measurement period to provide us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the acquisition date. We complete the final fair value determination of the assets acquired and liabilities assumed for each acquired business as soon as practicable within the measurement period, but not to exceed one year from the acquisition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Goodwill </w:t>
      </w:r>
      <w:r>
        <w:rPr>
          <w:rFonts w:ascii="Times New Roman;Times;Serif" w:hAnsi="Times New Roman;Times;Serif"/>
          <w:b w:val="false"/>
          <w:i w:val="false"/>
          <w:caps w:val="false"/>
          <w:smallCaps w:val="false"/>
          <w:sz w:val="20"/>
        </w:rPr>
        <w:t>— Goodwill is recorded when the purchase price paid in a business combination exceeds the fair value of assets acquired and liabilities assumed. Goodwill is reviewed for impairment on an annual basis, or upon an occurrence of an event or changes in circumstances that indicate that the carrying value may not be recoverable. In the absence of any indications of potential impairment, the evaluation of goodwill is performed during the fourth quarter of each year.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is the amount by which a reporting unit’s carrying value exceeds its fair value, not to exceed the carrying amount of goodwill. When testing goodwill for impairment, we may first perform a qualitative assessment to determine whether the fair value of a reporting unit is less than its carrying amount. We then complete a quantitative impairment test if the qualitative assessment indicates that it is more likely than not that the reporting unit’s fair value is less than the carrying value of its assets. If the estimated fair value of the reporting unit exceeds the carrying value, goodwill is not considered impaired, and no additional steps are needed. If, however, the fair value of the reporting unit is less than its carrying value, then the amount of the impairment loss is the amount by which the reporting unit’s carrying value exceeds its fair value, not to exceed the carrying amount of goodwill.</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taxes — </w:t>
      </w:r>
      <w:r>
        <w:rPr>
          <w:rFonts w:ascii="Times New Roman;Times;Serif" w:hAnsi="Times New Roman;Times;Serif"/>
          <w:b w:val="false"/>
          <w:i w:val="false"/>
          <w:caps w:val="false"/>
          <w:smallCaps w:val="false"/>
          <w:sz w:val="20"/>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as income or expense in the period that includes the enactment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the need for a valuation allowance on deferred tax assets based on whether we believe that it is more likely than not all deferred tax assets will be realized. A consideration of future taxable income is made as well as on-going prudent feasible tax planning strategies in assessing the need for valuation allowances. In the event it is determined all or part of a deferred tax asset would not be able to be realized, management would record an adjustment to the deferred tax asset and recognize a charge against income at that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potential outcome of any uncertain tax issue is subject to our assessment of relevant risks, facts and circumstances existing at that time. We account for uncertain tax positions in accordance with Accounting Standards Codification (“ASC”) 740, Income Taxes, and record a liability when such uncertainties meet the more likely than not recognition threshold. Potential accrued interest and penalties related to unrecognized tax benefits are recognized as a component of income tax expense.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Reportable Segments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organized into two operating segments, Company Drivers and Subhaulers, which represent the Company’s reportable segments. The Company Drivers segment offers automobile transport and contract services under an asset-based model. The Company’s Subhaulers segment offers transportation services utilizing an asset-light model focusing on outsourcing transportation of loads to third-party carriers.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Drivers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Company Drivers segment, we generate revenue by transporting autos for our customers in OEM contract and spot arrangements, secondary market auto moves, and contract services arrangements. Our OEM contract and spot arrangements provide auto transportation and logistics services through movements of autos over routes across the United States. Secondary market auto moves are for customers other than OEMs. Our contract services offering uses Company-owned equipment to service specific customers and provides services through long-term contracts.  Our Company Drivers segment provides services that are geographically diversified but have similar economic and other relevant characteristics, as they all provide Company Drivers carrier services of automobiles. The main factors that affect operating revenue in the Company Drivers Segment are the average revenue per unit received from customers and the number of vehicles transported.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typically paid a predetermined rate per unit for our Company Drivers services. Our executed contracts generally contain fixed terms and rates and are often used by our customers with high-service and high-priority freight. We strive to increase our revenues derived from contracts by delivering a high-quality service and continuing to build upon our relationships and reputation with OEMs.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generally include a fuel surcharge to account for fluctuating fuel prices. Built into the predetermined contract rates with each customer is a baseline fuel price and when fuel prices rise above this baseline price, our customers compensate us for the variance in the form of additional revenue. If fuel prices drop below the baseline price, we may in turn owe our customers this variance and record a discount. This additional revenue/discount is represented on the Fuel Surcharge and Other Reimbursements line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Company Drivers segment, our most significant operating expenses vary with miles traveled and include (i) fuel, and (ii) driver-related expenses, such as wages, benefits, training and recruitment. Expenses that have both fixed and variable components include maintenance and truck expenses and our total cost of insurance and claims. These expenses generally vary with the miles we travel, but also have a controllable component based on safety, fleet age, efficiency and other factors. Our main fixed costs include depreciation of long-term assets, such as trucks and trailers (to which we refer as revenue equipment) and service center facilities, the compensation of non-driver personnel and other 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Drivers segment requires capital expenditures for the purchase of new revenue equipment. We use a combination of financing leases and secured long-term debt to acquire revenue equipment. When we finance revenue equipment acquisitions with either finance leases or long-term debt, the asset and liability are recorded on our consolidated balance sheet, and we record expense under “Depreciation” and “Interest expense”. We expect our depreciation and interest expense to increase by changes in the quality and value of our revenue equipment acquired in any given year.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performance indicator in our Company Drivers segment is operating margin (Company Drivers operating revenue, less Company Drivers operating expenses, as a percentage of Company Drivers operating revenue). Operating margin can be impacted by the rates charged to customers, Company Drivers pay, fuel, trucking and maintenance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Subhaulers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Subhaulers segment, we generate revenue by independent owner operators (who run under our DOT authority(ies)) and independent third-party carriers, which assist in transporting autos for customers in our OEM contract and spot arrangements, and secondary market auto moves. We maintain the customer relationship, including billing and collection, but outsource the transportation of the loads. The main factors that affect operating revenue in our Subhaulers segment are our customers’ excess inventory needs, the rates we obtain from customers, the auto volumes we ship through the Subhaulers segment and our ability to secure capacity using independent contractors and carriers.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significant expense of our Subhaulers segment, which is primarily variable, is the cost of purchased transportation that we pay to independent contractors and third-party carriers and is included in the “Purchased transportation” line item. This expense generally varies directly with the amount of Subhauler revenue, rates paid to independent contractors and third-party carriers, and current demand and customer shipping needs. Other operating expenses are generally fixed and primarily include the compensation and benefits of non-driver personnel supporting this segment (which are recorded in the “Salaries, wages and benefits” line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performance indicator in our Subhaulers segment is operating margin (Subhauler operating revenue, less Subhauler operating expenses, as a percentage of Subhauler operating revenue). Operating margin can be impacted by the rates charged to customers and the rates paid to third-party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our financial results in accordance with GAAP. However, management believes that EBITDA and Operating Ratio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and Operating Ratio do not have a standardized meaning prescribed by GAAP and therefore they may not be comparable to similarly titled measures presented by other companies, and it should not be considered in isolation from, or as a substitute for, financial information prepared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net income (loss) for the period adjusted for interest expense, income tax benefit and depreciation expense and intangible amortization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represents net income (loss) plus interest expense, income tax benefit, depreciation expense, intangible amortization expense, share-based compensation expenses, and certain one-time items.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net income, the most closely comparable GAAP financial measure, to EBITDA and Adjusted EBITDA:</w:t>
      </w:r>
    </w:p>
    <w:p>
      <w:pPr>
        <w:pStyle w:val="TextBody"/>
        <w:bidi w:val="0"/>
        <w:spacing w:before="0" w:after="0"/>
        <w:ind w:left="0" w:right="0" w:firstLine="72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795"/>
        <w:gridCol w:w="60"/>
        <w:gridCol w:w="140"/>
        <w:gridCol w:w="1220"/>
        <w:gridCol w:w="215"/>
        <w:gridCol w:w="60"/>
        <w:gridCol w:w="140"/>
        <w:gridCol w:w="1220"/>
        <w:gridCol w:w="215"/>
        <w:gridCol w:w="60"/>
        <w:gridCol w:w="148"/>
        <w:gridCol w:w="1297"/>
        <w:gridCol w:w="215"/>
        <w:gridCol w:w="60"/>
        <w:gridCol w:w="148"/>
        <w:gridCol w:w="1297"/>
        <w:gridCol w:w="230"/>
      </w:tblGrid>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23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Total operating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203,089,454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210,752,607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109,399,785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115,546,586</w:t>
            </w:r>
          </w:p>
        </w:tc>
        <w:tc>
          <w:tcPr>
            <w:tcW w:w="23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(10,385,549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(4,748,518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(3,895,448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(1,556,833</w:t>
            </w:r>
          </w:p>
        </w:tc>
        <w:tc>
          <w:tcPr>
            <w:tcW w:w="230" w:type="dxa"/>
            <w:tcBorders/>
            <w:shd w:fill="FFFFFF" w:val="clear"/>
            <w:vAlign w:val="center"/>
          </w:tcPr>
          <w:p>
            <w:pPr>
              <w:pStyle w:val="TableContents"/>
              <w:bidi w:val="0"/>
              <w:spacing w:before="0" w:after="283"/>
              <w:jc w:val="left"/>
              <w:rPr/>
            </w:pPr>
            <w:r>
              <w:rPr/>
              <w:t>)</w:t>
            </w:r>
          </w:p>
        </w:tc>
      </w:tr>
      <w:tr>
        <w:trPr/>
        <w:tc>
          <w:tcPr>
            <w:tcW w:w="2795" w:type="dxa"/>
            <w:tcBorders/>
            <w:shd w:fill="CCEEFF" w:val="clear"/>
            <w:vAlign w:val="center"/>
          </w:tcPr>
          <w:p>
            <w:pPr>
              <w:pStyle w:val="TableContents"/>
              <w:bidi w:val="0"/>
              <w:spacing w:before="0" w:after="283"/>
              <w:jc w:val="left"/>
              <w:rPr/>
            </w:pPr>
            <w:r>
              <w:rPr/>
              <w:t>Add 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2,829,067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3,408,796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1,432,046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1,837,876</w:t>
            </w:r>
          </w:p>
        </w:tc>
        <w:tc>
          <w:tcPr>
            <w:tcW w:w="23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(2,622,101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(1,027,942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(814,454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(325,321</w:t>
            </w:r>
          </w:p>
        </w:tc>
        <w:tc>
          <w:tcPr>
            <w:tcW w:w="230" w:type="dxa"/>
            <w:tcBorders/>
            <w:shd w:fill="CCEEFF" w:val="clear"/>
            <w:vAlign w:val="center"/>
          </w:tcPr>
          <w:p>
            <w:pPr>
              <w:pStyle w:val="TableContents"/>
              <w:bidi w:val="0"/>
              <w:spacing w:before="0" w:after="283"/>
              <w:jc w:val="left"/>
              <w:rPr/>
            </w:pPr>
            <w:r>
              <w:rPr/>
              <w:t>)</w:t>
            </w:r>
          </w:p>
        </w:tc>
      </w:tr>
      <w:tr>
        <w:trPr/>
        <w:tc>
          <w:tcPr>
            <w:tcW w:w="279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14,778,246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14,135,559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7,171,239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7,646,980</w:t>
            </w:r>
          </w:p>
        </w:tc>
        <w:tc>
          <w:tcPr>
            <w:tcW w:w="23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Intangible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4,829,504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4,870,471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2,414,751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2,454,641</w:t>
            </w:r>
          </w:p>
        </w:tc>
        <w:tc>
          <w:tcPr>
            <w:tcW w:w="23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9,429,167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16,638,366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FFFFFF" w:val="clear"/>
            <w:tcMar>
              <w:bottom w:w="28" w:type="dxa"/>
            </w:tcMar>
            <w:vAlign w:val="center"/>
          </w:tcPr>
          <w:p>
            <w:pPr>
              <w:pStyle w:val="TableContents"/>
              <w:bidi w:val="0"/>
              <w:spacing w:before="0" w:after="283"/>
              <w:jc w:val="right"/>
              <w:rPr/>
            </w:pPr>
            <w:r>
              <w:rPr/>
              <w:t>6,308,134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FFFFFF" w:val="clear"/>
            <w:tcMar>
              <w:bottom w:w="28" w:type="dxa"/>
            </w:tcMar>
            <w:vAlign w:val="center"/>
          </w:tcPr>
          <w:p>
            <w:pPr>
              <w:pStyle w:val="TableContents"/>
              <w:bidi w:val="0"/>
              <w:spacing w:before="0" w:after="283"/>
              <w:jc w:val="right"/>
              <w:rPr/>
            </w:pPr>
            <w:r>
              <w:rPr/>
              <w:t>10,057,343</w:t>
            </w:r>
          </w:p>
        </w:tc>
        <w:tc>
          <w:tcPr>
            <w:tcW w:w="23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b/>
              </w:rPr>
            </w:pPr>
            <w:r>
              <w:rPr>
                <w:b/>
              </w:rPr>
              <w:t>EBITDA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8.7</w:t>
            </w:r>
          </w:p>
        </w:tc>
        <w:tc>
          <w:tcPr>
            <w:tcW w:w="230" w:type="dxa"/>
            <w:tcBorders/>
            <w:shd w:fill="CCEEFF" w:val="clear"/>
            <w:vAlign w:val="center"/>
          </w:tcPr>
          <w:p>
            <w:pPr>
              <w:pStyle w:val="TableContents"/>
              <w:bidi w:val="0"/>
              <w:spacing w:before="0" w:after="283"/>
              <w:jc w:val="left"/>
              <w:rPr/>
            </w:pPr>
            <w:r>
              <w:rPr/>
              <w:t>%</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Add 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2,698,330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2,404,506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1,346,248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1,221,497</w:t>
            </w:r>
          </w:p>
        </w:tc>
        <w:tc>
          <w:tcPr>
            <w:tcW w:w="23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12,127,497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19,042,872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7,654,382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11,278,840</w:t>
            </w:r>
          </w:p>
        </w:tc>
        <w:tc>
          <w:tcPr>
            <w:tcW w:w="23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b/>
              </w:rPr>
            </w:pPr>
            <w:r>
              <w:rPr>
                <w:b/>
              </w:rPr>
              <w:t>Adjusted EBITDA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9.8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ratio is calculated as total operating expenses as a percentage of operating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ratio is calculated as total operating expenses reduced for share-based compensation expense and amortization of intangibles as a percentage of operating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total operating revenue and operating (loss) income, to operating margin and adjusted operating margin: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0"/>
        <w:gridCol w:w="60"/>
        <w:gridCol w:w="140"/>
        <w:gridCol w:w="1220"/>
        <w:gridCol w:w="215"/>
        <w:gridCol w:w="60"/>
        <w:gridCol w:w="140"/>
        <w:gridCol w:w="1220"/>
        <w:gridCol w:w="215"/>
        <w:gridCol w:w="60"/>
        <w:gridCol w:w="148"/>
        <w:gridCol w:w="1297"/>
        <w:gridCol w:w="215"/>
        <w:gridCol w:w="60"/>
        <w:gridCol w:w="148"/>
        <w:gridCol w:w="1297"/>
        <w:gridCol w:w="230"/>
      </w:tblGrid>
      <w:tr>
        <w:trPr/>
        <w:tc>
          <w:tcPr>
            <w:tcW w:w="3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230" w:type="dxa"/>
            <w:tcBorders/>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283"/>
              <w:jc w:val="left"/>
              <w:rPr/>
            </w:pPr>
            <w:r>
              <w:rPr/>
              <w:t>Total operating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203,089,454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210,752,607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109,399,785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115,546,586</w:t>
            </w:r>
          </w:p>
        </w:tc>
        <w:tc>
          <w:tcPr>
            <w:tcW w:w="230" w:type="dxa"/>
            <w:tcBorders/>
            <w:shd w:fill="CCEEFF" w:val="clear"/>
            <w:vAlign w:val="center"/>
          </w:tcPr>
          <w:p>
            <w:pPr>
              <w:pStyle w:val="TableContents"/>
              <w:bidi w:val="0"/>
              <w:spacing w:before="0" w:after="283"/>
              <w:jc w:val="left"/>
              <w:rPr/>
            </w:pPr>
            <w:r>
              <w:rPr/>
              <w:t> </w:t>
            </w:r>
          </w:p>
        </w:tc>
      </w:tr>
      <w:tr>
        <w:trPr/>
        <w:tc>
          <w:tcPr>
            <w:tcW w:w="348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213,259,039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212,989,755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112,634,816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115,421,228</w:t>
            </w:r>
          </w:p>
        </w:tc>
        <w:tc>
          <w:tcPr>
            <w:tcW w:w="230" w:type="dxa"/>
            <w:tcBorders/>
            <w:shd w:fill="FFFFFF" w:val="clear"/>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283"/>
              <w:jc w:val="left"/>
              <w:rPr/>
            </w:pPr>
            <w:r>
              <w:rPr/>
              <w:t>Operating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(10,169,585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(2,237,148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(3,235,031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125,358</w:t>
            </w:r>
          </w:p>
        </w:tc>
        <w:tc>
          <w:tcPr>
            <w:tcW w:w="230" w:type="dxa"/>
            <w:tcBorders/>
            <w:shd w:fill="CCEEFF" w:val="clear"/>
            <w:vAlign w:val="center"/>
          </w:tcPr>
          <w:p>
            <w:pPr>
              <w:pStyle w:val="TableContents"/>
              <w:bidi w:val="0"/>
              <w:spacing w:before="0" w:after="283"/>
              <w:jc w:val="left"/>
              <w:rPr/>
            </w:pPr>
            <w:r>
              <w:rPr/>
              <w:t> </w:t>
            </w:r>
          </w:p>
        </w:tc>
      </w:tr>
      <w:tr>
        <w:trPr/>
        <w:tc>
          <w:tcPr>
            <w:tcW w:w="3480" w:type="dxa"/>
            <w:tcBorders/>
            <w:shd w:fill="FFFFFF" w:val="clear"/>
            <w:vAlign w:val="center"/>
          </w:tcPr>
          <w:p>
            <w:pPr>
              <w:pStyle w:val="TableContents"/>
              <w:bidi w:val="0"/>
              <w:spacing w:before="0" w:after="283"/>
              <w:jc w:val="left"/>
              <w:rPr>
                <w:b/>
              </w:rPr>
            </w:pPr>
            <w:r>
              <w:rPr>
                <w:b/>
              </w:rPr>
              <w:t>Operating Ratio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103.0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99.9</w:t>
            </w:r>
          </w:p>
        </w:tc>
        <w:tc>
          <w:tcPr>
            <w:tcW w:w="230" w:type="dxa"/>
            <w:tcBorders/>
            <w:shd w:fill="FFFFFF" w:val="clear"/>
            <w:vAlign w:val="center"/>
          </w:tcPr>
          <w:p>
            <w:pPr>
              <w:pStyle w:val="TableContents"/>
              <w:bidi w:val="0"/>
              <w:spacing w:before="0" w:after="283"/>
              <w:jc w:val="left"/>
              <w:rPr/>
            </w:pPr>
            <w:r>
              <w:rPr/>
              <w:t>%</w:t>
            </w:r>
          </w:p>
        </w:tc>
      </w:tr>
      <w:tr>
        <w:trPr/>
        <w:tc>
          <w:tcPr>
            <w:tcW w:w="3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480" w:type="dxa"/>
            <w:tcBorders/>
            <w:shd w:fill="FFFFFF" w:val="clear"/>
            <w:vAlign w:val="center"/>
          </w:tcPr>
          <w:p>
            <w:pPr>
              <w:pStyle w:val="TableContents"/>
              <w:bidi w:val="0"/>
              <w:spacing w:before="0" w:after="283"/>
              <w:jc w:val="left"/>
              <w:rPr/>
            </w:pPr>
            <w:r>
              <w:rPr/>
              <w:t>Add Back: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2,698,330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2,404,506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1,346,248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1,221,497</w:t>
            </w:r>
          </w:p>
        </w:tc>
        <w:tc>
          <w:tcPr>
            <w:tcW w:w="230" w:type="dxa"/>
            <w:tcBorders/>
            <w:shd w:fill="CCEEFF" w:val="clear"/>
            <w:vAlign w:val="center"/>
          </w:tcPr>
          <w:p>
            <w:pPr>
              <w:pStyle w:val="TableContents"/>
              <w:bidi w:val="0"/>
              <w:spacing w:before="0" w:after="283"/>
              <w:jc w:val="left"/>
              <w:rPr/>
            </w:pPr>
            <w:r>
              <w:rPr/>
              <w:t> </w:t>
            </w:r>
          </w:p>
        </w:tc>
      </w:tr>
      <w:tr>
        <w:trPr/>
        <w:tc>
          <w:tcPr>
            <w:tcW w:w="3480" w:type="dxa"/>
            <w:tcBorders/>
            <w:shd w:fill="FFFFFF" w:val="clear"/>
            <w:vAlign w:val="center"/>
          </w:tcPr>
          <w:p>
            <w:pPr>
              <w:pStyle w:val="TableContents"/>
              <w:bidi w:val="0"/>
              <w:spacing w:before="0" w:after="283"/>
              <w:jc w:val="left"/>
              <w:rPr/>
            </w:pPr>
            <w:r>
              <w:rPr/>
              <w:t>Intangible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4,829,504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4,870,471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2,414,751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2,454,641</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3480" w:type="dxa"/>
            <w:tcBorders/>
            <w:shd w:fill="CCEEFF" w:val="clear"/>
            <w:vAlign w:val="center"/>
          </w:tcPr>
          <w:p>
            <w:pPr>
              <w:pStyle w:val="TableContents"/>
              <w:bidi w:val="0"/>
              <w:spacing w:before="0" w:after="283"/>
              <w:jc w:val="left"/>
              <w:rPr>
                <w:b/>
              </w:rPr>
            </w:pPr>
            <w:r>
              <w:rPr>
                <w:b/>
              </w:rPr>
              <w:t>Adjusted 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205,731,205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205,714,778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108,873,817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111,745,090</w:t>
            </w:r>
          </w:p>
        </w:tc>
        <w:tc>
          <w:tcPr>
            <w:tcW w:w="230" w:type="dxa"/>
            <w:tcBorders/>
            <w:shd w:fill="CCEEFF" w:val="clear"/>
            <w:vAlign w:val="center"/>
          </w:tcPr>
          <w:p>
            <w:pPr>
              <w:pStyle w:val="TableContents"/>
              <w:bidi w:val="0"/>
              <w:spacing w:before="0" w:after="283"/>
              <w:jc w:val="left"/>
              <w:rPr/>
            </w:pPr>
            <w:r>
              <w:rPr/>
              <w:t> </w:t>
            </w:r>
          </w:p>
        </w:tc>
      </w:tr>
      <w:tr>
        <w:trPr/>
        <w:tc>
          <w:tcPr>
            <w:tcW w:w="3480" w:type="dxa"/>
            <w:tcBorders/>
            <w:shd w:fill="FFFFFF" w:val="clear"/>
            <w:vAlign w:val="center"/>
          </w:tcPr>
          <w:p>
            <w:pPr>
              <w:pStyle w:val="TableContents"/>
              <w:bidi w:val="0"/>
              <w:spacing w:before="0" w:after="283"/>
              <w:jc w:val="left"/>
              <w:rPr>
                <w:b/>
              </w:rPr>
            </w:pPr>
            <w:r>
              <w:rPr>
                <w:b/>
              </w:rPr>
              <w:t>Adjusted Operating Ratio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99.5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96.7</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2026 and 2025</w:t>
      </w:r>
    </w:p>
    <w:p>
      <w:pPr>
        <w:pStyle w:val="TextBody"/>
        <w:bidi w:val="0"/>
        <w:spacing w:before="0" w:after="0"/>
        <w:ind w:left="0" w:right="0" w:firstLine="720"/>
        <w:jc w:val="left"/>
        <w:rPr>
          <w:caps w:val="false"/>
          <w:smallCaps w:val="false"/>
        </w:rPr>
      </w:pPr>
      <w:r>
        <w:rPr>
          <w:caps w:val="false"/>
          <w:smallCaps w:val="false"/>
        </w:rPr>
        <w:t> </w:t>
      </w:r>
    </w:p>
    <w:tbl>
      <w:tblPr>
        <w:tblW w:w="7598" w:type="dxa"/>
        <w:jc w:val="left"/>
        <w:tblInd w:w="0" w:type="dxa"/>
        <w:tblLayout w:type="fixed"/>
        <w:tblCellMar>
          <w:top w:w="0" w:type="dxa"/>
          <w:left w:w="0" w:type="dxa"/>
          <w:bottom w:w="0" w:type="dxa"/>
          <w:right w:w="0" w:type="dxa"/>
        </w:tblCellMar>
      </w:tblPr>
      <w:tblGrid>
        <w:gridCol w:w="4385"/>
        <w:gridCol w:w="60"/>
        <w:gridCol w:w="148"/>
        <w:gridCol w:w="1296"/>
        <w:gridCol w:w="95"/>
        <w:gridCol w:w="60"/>
        <w:gridCol w:w="148"/>
        <w:gridCol w:w="1296"/>
        <w:gridCol w:w="110"/>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b/>
              </w:rPr>
            </w:pPr>
            <w:r>
              <w:rPr>
                <w:b/>
              </w:rPr>
              <w:t>Operating Revenue</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Revenue, before fuel surcharge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96,015,610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107,372,359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Fuel surcharge and other reimbursements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11,251,586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6,802,255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806,532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688,122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1,326,057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683,850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Total Operating Revenue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109,399,785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115,546,586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Salaries, wages and benefits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22,077,595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22,456,693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1,346,248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1,221,497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Fuel and fuel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8,937,810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6,779,856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Purchased transportation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52,984,044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58,948,018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Truck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7,024,553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6,438,424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7,171,239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7,646,980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Intangible amortization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2,414,751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2,454,641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Loss (Gain)  on sale of equipment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(235,095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85" w:type="dxa"/>
            <w:tcBorders/>
            <w:shd w:fill="FFFFFF" w:val="clear"/>
            <w:vAlign w:val="center"/>
          </w:tcPr>
          <w:p>
            <w:pPr>
              <w:pStyle w:val="TableContents"/>
              <w:bidi w:val="0"/>
              <w:spacing w:before="0" w:after="283"/>
              <w:jc w:val="left"/>
              <w:rPr/>
            </w:pPr>
            <w:r>
              <w:rPr/>
              <w:t>Insurance premiums and claims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6,091,606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5,382,512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General, selling, and other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4,535,660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4,327,702</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112,634,816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115,421,228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(3,235,031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125,358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Other income and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(1,432,046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(1,837,876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85"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(274,705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85"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(19,089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105,069</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(1,474,871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(2,007,512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8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(4,709,902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(1,882,154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8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814,454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325,321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pPr>
            <w:r>
              <w:rPr/>
              <w:t>(3,895,448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pPr>
            <w:r>
              <w:rPr/>
              <w:t>(1,556,833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 - The Company generates revenue from two primary sources: transporting freight for customers, including related fuel surcharge revenue and other reimbursements (Company Drivers), and arranging for the transportation of customer freight by independent contractors and third-party carriers (Subhaulers). Company Drivers revenue, before fuel surcharges and other reimbursements, is primarily generated through trucking services provided by the Company’s Company Drivers service offerings to OEMs and the secondary market. Subhaulers revenue before fuel surcharges and other reimbursements is primarily generated through brokering freight to third-party carriers. Fuel surcharge and other reimbursements represent additional revenue the Company earns based on mileage driven and other reimbursable costs incurred for which it is compensated by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operating revenue is affected by, among other things, the general level of economic activity in the United States, customer inventory levels, specific customer demand, the level of capacity in the truckload and brokerage industry, the success of its marketing and sales efforts and the availability of drivers and third-party carriers.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its customers for Company Drivers and Subhaulers operations between (1) revenue, before fuel surcharges and reimbursements and (2) fuel surcharge and reimbursements.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revenue generated by type for the periods indicated is as follows: </w:t>
      </w:r>
    </w:p>
    <w:p>
      <w:pPr>
        <w:pStyle w:val="TextBody"/>
        <w:bidi w:val="0"/>
        <w:spacing w:before="0" w:after="0"/>
        <w:ind w:left="0" w:right="0" w:firstLine="480"/>
        <w:jc w:val="both"/>
        <w:rPr>
          <w:caps w:val="false"/>
          <w:smallCaps w:val="false"/>
        </w:rPr>
      </w:pPr>
      <w:r>
        <w:rPr>
          <w:caps w:val="false"/>
          <w:smallCaps w:val="false"/>
        </w:rPr>
        <w:t> </w:t>
      </w:r>
    </w:p>
    <w:tbl>
      <w:tblPr>
        <w:tblW w:w="8674" w:type="dxa"/>
        <w:jc w:val="left"/>
        <w:tblInd w:w="0" w:type="dxa"/>
        <w:tblLayout w:type="fixed"/>
        <w:tblCellMar>
          <w:top w:w="0" w:type="dxa"/>
          <w:left w:w="0" w:type="dxa"/>
          <w:bottom w:w="0" w:type="dxa"/>
          <w:right w:w="0" w:type="dxa"/>
        </w:tblCellMar>
      </w:tblPr>
      <w:tblGrid>
        <w:gridCol w:w="5615"/>
        <w:gridCol w:w="60"/>
        <w:gridCol w:w="140"/>
        <w:gridCol w:w="1220"/>
        <w:gridCol w:w="60"/>
        <w:gridCol w:w="60"/>
        <w:gridCol w:w="148"/>
        <w:gridCol w:w="1296"/>
        <w:gridCol w:w="75"/>
      </w:tblGrid>
      <w:tr>
        <w:trPr/>
        <w:tc>
          <w:tcPr>
            <w:tcW w:w="5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June 30,</w:t>
              <w:br/>
              <w:t>2025</w:t>
            </w:r>
          </w:p>
        </w:tc>
        <w:tc>
          <w:tcPr>
            <w:tcW w:w="75" w:type="dxa"/>
            <w:tcBorders/>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left"/>
              <w:rPr>
                <w:b/>
              </w:rPr>
            </w:pPr>
            <w:r>
              <w:rPr>
                <w:b/>
              </w:rPr>
              <w:t>Operating 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Company Drivers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36,690,353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38,619,199</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Company Drivers fuel surcharge and other reimbursements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4,043,750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2,721,177</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279,748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112,692</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Total Company Drivers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41,013,851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41,453,068</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Subhaulers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59,325,257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68,753,160</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Subhaulers fuel surcharge and other reimbursements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7,207,836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4,081,078</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526,784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575,430</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Lease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1,326,057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683,850</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Total Subhaulers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68,385,934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74,093,518</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Total operating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109,399,785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pPr>
            <w:r>
              <w:rPr/>
              <w:t>115,546,586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we experienced an increase in new vehicle shipments and dealership operations when compared to the first quarter of 2026, resulting in an additional $10 million in revenue before fuel surcharge on a sequential basis. Though seasonally adjusted annual rate of automotive sales (“SAAR”) was comparable in the quarter to the second quarter of 2025, the reduction of capacity across the industry due to more stringent regulatory requirements and financial pressure hindered the ability to haul additional volume, and year-over-year volume was down.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 Drivers segment, operating revenues decreased by $0.4 million, or 1.1%, to $41.0 million in the second quarter of 2026 compared to $41.5 million in 2025. In the Subhaulers segment, operating revenues decreased by $5.7 million, or 7.7%, to $68.4 million in the second quarter of 2026 compared to $74.1 million in 2025. The decrease in both segments when compared to the second quarter 2025, is a direct result of capacity impacts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Salaries, wages and benefits</w:t>
      </w:r>
      <w:r>
        <w:rPr>
          <w:rFonts w:ascii="Times New Roman;Times;Serif" w:hAnsi="Times New Roman;Times;Serif"/>
          <w:b w:val="false"/>
          <w:i w:val="false"/>
          <w:caps w:val="false"/>
          <w:smallCaps w:val="false"/>
          <w:sz w:val="20"/>
        </w:rPr>
        <w:t> — Salaries, wages, and benefits consist primarily of compensation for all employees. Salaries, wages, and benefits are primarily affected by the amount paid to Company drivers, which is a function of the units delivered. Salaries, wages and benefits are also affected by employee benefits such as health care and workers’ compensation, and to a lesser extent by the number of, and compensation and benefits paid to, non-driver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wages and benefits decreased slightly by $0.4 million, or 1.7%, to $22.1 million in the three months ended June 30, 2026 compared to $22.5 million in 2025. This reduction was mainly due to a decrease in drivers.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Stock-based compensation consists primarily of compensation for certain employees, officers, and directors as a key component of our overall compensation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increased $0.1 million, or 10.2%, to $1.3 million in the three months ended June 30, 2026 compared to $1.2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Fuel and fuel taxes</w:t>
      </w:r>
      <w:r>
        <w:rPr>
          <w:rFonts w:ascii="Times New Roman;Times;Serif" w:hAnsi="Times New Roman;Times;Serif"/>
          <w:b w:val="false"/>
          <w:i w:val="false"/>
          <w:caps w:val="false"/>
          <w:smallCaps w:val="false"/>
          <w:sz w:val="20"/>
        </w:rPr>
        <w:t> — Fuel and fuel taxes consist primarily of diesel fuel expense and fuel taxes for the Company’s company-owned equipment. The primary factors affecting the Company’s fuel and fuel taxes expense are the cost of fuel per mile and the number of miles driven by Company drivers.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and fuel taxes increased by $2.2 million, or 31.8%, to $8.9 million in the three months ended June 30, 2026 compared to $6.8 million in 2025. The increase in fuel and fuel taxes was primarily driven by higher fuel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Purchased transportation</w:t>
      </w:r>
      <w:r>
        <w:rPr>
          <w:rFonts w:ascii="Times New Roman;Times;Serif" w:hAnsi="Times New Roman;Times;Serif"/>
          <w:b w:val="false"/>
          <w:i w:val="false"/>
          <w:caps w:val="false"/>
          <w:smallCaps w:val="false"/>
          <w:sz w:val="20"/>
        </w:rPr>
        <w:t> — Purchased transportation consists of the payments the Company makes to independent owner-operators and third-party carriers.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transportation decreased by $5.9 million, or 10.1%, to $53 million in the three months ended June 30, 2026 compared to $58.9 million in 2025. With reduced capacity in the industry, and thus, lower third party carrier movement, there was lower purchased transportation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Truck expenses</w:t>
      </w:r>
      <w:r>
        <w:rPr>
          <w:rFonts w:ascii="Times New Roman;Times;Serif" w:hAnsi="Times New Roman;Times;Serif"/>
          <w:b w:val="false"/>
          <w:i w:val="false"/>
          <w:caps w:val="false"/>
          <w:smallCaps w:val="false"/>
          <w:sz w:val="20"/>
        </w:rPr>
        <w:t> — Truck expenses consist of operating expenses and supplies incurred for ordinary vehicle repairs and maintenance costs, driver on-the-road expenses and tolls.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Truck expenses and supplies are primarily affected by the age of the Company’s company-owned and leased fleet of trucks and trailers, the number of miles driven in a period and driver turnover. Truck expenses increased $0.6 million, or 9.1%, to $7.0 million in the three months ended June 30, 2026 compared to $6.4 million in 2025. The primary increase in truck expenses is due to routine equipment maintenance and repairs and inflationary costs in these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w:t>
      </w:r>
      <w:r>
        <w:rPr>
          <w:rFonts w:ascii="Times New Roman;Times;Serif" w:hAnsi="Times New Roman;Times;Serif"/>
          <w:b w:val="false"/>
          <w:i w:val="false"/>
          <w:caps w:val="false"/>
          <w:smallCaps w:val="false"/>
          <w:sz w:val="20"/>
        </w:rPr>
        <w:t> — Depreciation and amortization consist primarily of depreciation for owned trucks and trailers and to a lesser extent computer software amortization. The primary factors affecting these expense items include the size and age of the Company’s truck and trailer fleets.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and the loss (gain) on sale of equipment decreased by $0.2 million, or 2.6%, to $7.2 million in the three months ended June 30, 2026 compared to $7.4 million in 2025. The decrease in depreciation and amortization was largely driven by the reclassification of equipment to assets held for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Intangible Amortization </w:t>
      </w:r>
      <w:r>
        <w:rPr>
          <w:rFonts w:ascii="Times New Roman;Times;Serif" w:hAnsi="Times New Roman;Times;Serif"/>
          <w:b w:val="false"/>
          <w:i w:val="false"/>
          <w:caps w:val="false"/>
          <w:smallCaps w:val="false"/>
          <w:sz w:val="20"/>
        </w:rPr>
        <w:t>— Intangible amortization is the amortization of our intangible assets, including customer relationships and trade names, recognized during each acquisition,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amortization remained substantially consistent at $2.4 million in the three months ended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Insurance premiums and claims</w:t>
      </w:r>
      <w:r>
        <w:rPr>
          <w:rFonts w:ascii="Times New Roman;Times;Serif" w:hAnsi="Times New Roman;Times;Serif"/>
          <w:b w:val="false"/>
          <w:i w:val="false"/>
          <w:caps w:val="false"/>
          <w:smallCaps w:val="false"/>
          <w:sz w:val="20"/>
        </w:rPr>
        <w:t> — Insurance premiums and claims consist primarily of retained amounts for liability (personal injury and property damage), physical damage and cargo damage, as well as insurance premiums. The primary factors affecting the Company’s insurance premiums and claims are the frequency and severity of accidents, trends in the development factors used in the Company’s accruals and developments in large, prior year claims. The number of accidents tends to increase with the miles we travel and weather conditions. With our significant retained amounts, insurance claims expense may fluctuate significantly and impact the cost of insurance premiums and claims from period-to-period, and any increase in frequency or severity of claims or adverse loss development of prior period claims would adversely affect the Company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premiums and claims increased by $0.7 million, or 13.2%, to $6.1 million in the three months ended June 30, 2026 compared to $5.4 million in 2025. This increase was driven by an increased number of claims during the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selling, and other operating expenses</w:t>
      </w:r>
      <w:r>
        <w:rPr>
          <w:rFonts w:ascii="Times New Roman;Times;Serif" w:hAnsi="Times New Roman;Times;Serif"/>
          <w:b w:val="false"/>
          <w:i w:val="false"/>
          <w:caps w:val="false"/>
          <w:smallCaps w:val="false"/>
          <w:sz w:val="20"/>
        </w:rPr>
        <w:t> — General, selling, and other operating expenses consist primarily of legal and professional services fees, occupancy and other costs. General, selling, and other operating expenses increased by $0.2 million, or 4.8%, to $4.5 million in the three months ended June 30, 2026 compared to $4.3 million in 2025. The increase in general, selling, and other operating expenses was primarily driven by an increase in office lease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expense, net</w:t>
      </w:r>
      <w:r>
        <w:rPr>
          <w:rFonts w:ascii="Times New Roman;Times;Serif" w:hAnsi="Times New Roman;Times;Serif"/>
          <w:b w:val="false"/>
          <w:i w:val="false"/>
          <w:caps w:val="false"/>
          <w:smallCaps w:val="false"/>
          <w:sz w:val="20"/>
        </w:rPr>
        <w:t> — Interest expense, net consists of cash interest, amortization of deferred financing fees, net of any interest income received from financial institutions. Interest expense, net decreased by $0.4 million, or 22.1%, to $1.4 million in the three months ended June 30, 2026 compared to $1.8 million in 2025. The decrease was primarily due to lower borrowings on equipment loans during the three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ratio</w:t>
      </w:r>
      <w:r>
        <w:rPr>
          <w:rFonts w:ascii="Times New Roman;Times;Serif" w:hAnsi="Times New Roman;Times;Serif"/>
          <w:b w:val="false"/>
          <w:i w:val="false"/>
          <w:caps w:val="false"/>
          <w:smallCaps w:val="false"/>
          <w:sz w:val="20"/>
        </w:rPr>
        <w:t> — Operating ratio is calculated as total operating expenses as a percentage of operating revenue. The Company’s operating ratio increased by 3.1% to 103.0% in 2026 as compared to 99.9% in 2025. The increase in operating ratio is due to lower operating revenues during the quarter along with increased fuel cost, insurance and truck expenses. See “Non-GAAP Financial Measures” section for the Company’s calculation of operating ratio.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Adjusted Operating ratio</w:t>
      </w:r>
      <w:r>
        <w:rPr>
          <w:rFonts w:ascii="Times New Roman;Times;Serif" w:hAnsi="Times New Roman;Times;Serif"/>
          <w:b w:val="false"/>
          <w:i w:val="false"/>
          <w:caps w:val="false"/>
          <w:smallCaps w:val="false"/>
          <w:sz w:val="20"/>
        </w:rPr>
        <w:t> — Adjusted operating ratio is calculated as total adjusted operating expenses (operating expenses less stock-based compensation and intangible amortization) as a percentage of operating revenue. The Company’s adjusted operating ratio increased by 2.8% to 99.5% in 2026 as compared to 96.7% in 2025. The increase in adjusted operating ratio is due to lower operating revenues during the quarter along with increased fuel cost, insurance and truck expenses. See “Non-GAAP Financial Measures” section for the Company’s calculation of adjusted operating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EBITDA</w:t>
      </w:r>
      <w:r>
        <w:rPr>
          <w:rFonts w:ascii="Times New Roman;Times;Serif" w:hAnsi="Times New Roman;Times;Serif"/>
          <w:b w:val="false"/>
          <w:i w:val="false"/>
          <w:caps w:val="false"/>
          <w:smallCaps w:val="false"/>
          <w:sz w:val="20"/>
        </w:rPr>
        <w:t> — EBITDA decreased by $3.8 million, or 37.3%, to $6.3 million in 2026 compared to $10.1 million in 2025. The decrease was due to lower operating revenues during the quarter along with increased fuel cost, insurance and truck expenses. See “Non-GAAP Financial Measures” section for the Company’s calculation of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Adjusted EBITDA</w:t>
      </w:r>
      <w:r>
        <w:rPr>
          <w:rFonts w:ascii="Times New Roman;Times;Serif" w:hAnsi="Times New Roman;Times;Serif"/>
          <w:b w:val="false"/>
          <w:i w:val="false"/>
          <w:caps w:val="false"/>
          <w:smallCaps w:val="false"/>
          <w:sz w:val="20"/>
        </w:rPr>
        <w:t> — Adjusted EBITDA represents net income (loss) plus interest expense, income tax benefit, depreciation expense, intangible amortization expense, and share-based compensation expenses. Adjusted EBITDA decreased by $3.6 million, or 32.1%, to $7.7 million in 2026 compared to $11.3 million in 2025. The decrease was due to lower operating revenues during the quarter along with increased fuel cost, insurance and truck expenses. See “Non-GAAP Financial Measures” section for the Company’s calculation of Adjusted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4385"/>
        <w:gridCol w:w="60"/>
        <w:gridCol w:w="140"/>
        <w:gridCol w:w="1220"/>
        <w:gridCol w:w="95"/>
        <w:gridCol w:w="60"/>
        <w:gridCol w:w="140"/>
        <w:gridCol w:w="1220"/>
        <w:gridCol w:w="1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b/>
              </w:rPr>
            </w:pPr>
            <w:r>
              <w:rPr>
                <w:b/>
              </w:rPr>
              <w:t>Operating 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Revenue, before fuel surcharge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182,212,564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194,987,487</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Fuel surcharge and other reimbursements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16,916,037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12,230,095</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1,910,732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1,993,867</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2,050,121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1,541,158</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Total operating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203,089,454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210,752,607</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Salaries, wages and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42,970,439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41,744,796</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2,404,506</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Fuel and fuel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15,813,808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12,845,111</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Purchased transportation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97,598,053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106,156,861</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Truck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14,255,346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12,288,270</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14,778,246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14,135,559</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Intangible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4,829,504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4,870,471</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Loss (Gain) on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(226,314</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Insurance premiums and claims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11,378,951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10,341,191</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General, selling, and other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8,895,315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8,429,304</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213,259,039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212,989,755</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(10,169,585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(2,237,148</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Other income and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(2,829,067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(3,408,796</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(311,807</w:t>
            </w:r>
          </w:p>
        </w:tc>
        <w:tc>
          <w:tcPr>
            <w:tcW w:w="11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181,291</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(2,838,065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(3,539,312</w:t>
            </w:r>
          </w:p>
        </w:tc>
        <w:tc>
          <w:tcPr>
            <w:tcW w:w="11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(13,007,650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(5,776,460</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2,622,101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1,027,942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(10,385,549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(4,748,518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revenue generated by type for the periods indicated is as follows: </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5615"/>
        <w:gridCol w:w="60"/>
        <w:gridCol w:w="140"/>
        <w:gridCol w:w="1220"/>
        <w:gridCol w:w="60"/>
        <w:gridCol w:w="60"/>
        <w:gridCol w:w="140"/>
        <w:gridCol w:w="1220"/>
        <w:gridCol w:w="75"/>
      </w:tblGrid>
      <w:tr>
        <w:trPr/>
        <w:tc>
          <w:tcPr>
            <w:tcW w:w="5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75" w:type="dxa"/>
            <w:tcBorders/>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left"/>
              <w:rPr>
                <w:b/>
              </w:rPr>
            </w:pPr>
            <w:r>
              <w:rPr>
                <w:b/>
              </w:rPr>
              <w:t>Operating 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Company Drivers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70,774,051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69,095,538</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Company Drivers fuel surcharge and other reimbursements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6,033,770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4,070,760</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460,941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961,188</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b/>
              </w:rPr>
            </w:pPr>
            <w:r>
              <w:rPr>
                <w:b/>
              </w:rPr>
              <w:t>Total Company Drivers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77,268,762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74,127,486</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Subhaulers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111,438,513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125,891,949</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Subhaulers fuel surcharge and other reimbursements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10,882,267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8,159,335</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1,449,791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1,032,679</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Lease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2,050,121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1,541,158</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b/>
              </w:rPr>
            </w:pPr>
            <w:r>
              <w:rPr>
                <w:b/>
              </w:rPr>
              <w:t>Total Subhaulers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125,820,692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136,625,121</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b/>
              </w:rPr>
            </w:pPr>
            <w:r>
              <w:rPr>
                <w:b/>
              </w:rPr>
              <w:t>Total Operating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203,089,454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210,752,607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there were extended plant shutdowns, a weak seasonally adjusted annual rate of automotive sales (“SAAR”), and severe winter weather impacting both new vehicle shipments and dealership operations. Then in the second quarter of 2026, though the SAAR increased and was again comparable to 2025, we were impacted by reduced available capacity following market exits that resulted from several quarters of sub-seasonal demand and rate pressure that negatively impacted driver and carrier compensation; as a consequence, the available capacity was not able to ship as many vehicles compared to the year-ago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 Drivers segment, operating revenues increased by $3.2 million, or 4.2%, to $77.4 million in the six months ended June 30, 2026 compared to $74.1 million in 2025. In the Subhaulers segment, operating revenues decreased by $10.8 million, or 7.9%, to $125.8 million in the six months ended June 30, 2026 compared to $136.6 million in 2025. The change between Company Drivers and Subhauler revenues was driven by the Company utilizing more Company drivers during the slow periods to perform hauls compared to third-party carriers. In addition, our third-party carriers were impacted by reduced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Salaries, wages and benefits</w:t>
      </w:r>
      <w:r>
        <w:rPr>
          <w:rFonts w:ascii="Times New Roman;Times;Serif" w:hAnsi="Times New Roman;Times;Serif"/>
          <w:b w:val="false"/>
          <w:i w:val="false"/>
          <w:caps w:val="false"/>
          <w:smallCaps w:val="false"/>
          <w:sz w:val="20"/>
        </w:rPr>
        <w:t> — Salaries, wages, and benefits consist primarily of compensation for all employees. Salaries, wages, and benefits are primarily affected by the amount paid to Company drivers, which is a function of the revenue the Company receives for units delivered. Salaries, wages and benefits are also affected by employee benefits such as health care and workers’ compensation, and to a lesser extent by the number of, and compensation and benefits paid to, non-driver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wages and benefits increased by $1.2 million, or 2.9%, to $42.9 million in the six months ended June 30, 2026 compared to $41.7 million in 2025 due to employee additions from the acquisition of Brothers on April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Stock-based compensation consists primarily of compensation for certain employees, officers, and directors as a key component of our overall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increased $0.3 million, or 12.2%, to $2.7 million in the six months ended June 30, 2026 compared to $2.4 million in 2025. The increase between periods was due to additional restricted and performance-based awards that were issued in early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Fuel and fuel taxes</w:t>
      </w:r>
      <w:r>
        <w:rPr>
          <w:rFonts w:ascii="Times New Roman;Times;Serif" w:hAnsi="Times New Roman;Times;Serif"/>
          <w:b w:val="false"/>
          <w:i w:val="false"/>
          <w:caps w:val="false"/>
          <w:smallCaps w:val="false"/>
          <w:sz w:val="20"/>
        </w:rPr>
        <w:t> — Fuel and fuel taxes consist primarily of diesel fuel expense and fuel taxes for the Company’s company-owned equipment. The primary factors affecting the Company’s fuel and fuel taxes expense are the cost of fuel per mile and the number of miles driven by Company drivers.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and fuel taxes increased by $3.0 million, or 23.1%, to $15.8 million in the six months ended June 30, 2026 compared to $12.8 million in 2025. The increase in fuel and fuel taxes was primarily driven by higher fuel prices and the fuel and fuel taxes attributed to the acquisition of Brothers on April 1,2025.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Purchased transportation</w:t>
      </w:r>
      <w:r>
        <w:rPr>
          <w:rFonts w:ascii="Times New Roman;Times;Serif" w:hAnsi="Times New Roman;Times;Serif"/>
          <w:b w:val="false"/>
          <w:i w:val="false"/>
          <w:caps w:val="false"/>
          <w:smallCaps w:val="false"/>
          <w:sz w:val="20"/>
        </w:rPr>
        <w:t> — Purchased transportation consists of the payments the Company makes to owner-operators and third-party carriers.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transportation decreased by $8.6 million, or 8.1%, to $97.6 million in the six months ended June 30, 2026 compared to $106.2 million in 2025. The decrease in purchased transportation was driven by lower subhauler revenue in the 2026 period, resulting from the impact of reduced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Truck Expenses</w:t>
      </w:r>
      <w:r>
        <w:rPr>
          <w:rFonts w:ascii="Times New Roman;Times;Serif" w:hAnsi="Times New Roman;Times;Serif"/>
          <w:b w:val="false"/>
          <w:i w:val="false"/>
          <w:caps w:val="false"/>
          <w:smallCaps w:val="false"/>
          <w:sz w:val="20"/>
        </w:rPr>
        <w:t> — Truck expenses consist of operating expenses and supplies incurred for ordinary vehicle repairs and maintenance costs, driver on-the-road expenses and tolls.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Truck expenses and supplies are primarily affected by the age of the Company’s company-owned and leased fleet of trucks and trailers, the number of miles driven in a period and driver turnover. Truck expenses increased $2.0 million, or 16.0%, to $14.3 million in the six months ended June 30, 2026 compared to $12.3 million in 2025. The primary increase in truck expenses is due to cold-weather-related (during the first quarter of 2026) and routine equipment maintenance and repairs, additions of Brothers acquisition on April 1,2025, and cost inflation in parts and labor, particularly when using third-party repair shops.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w:t>
      </w:r>
      <w:r>
        <w:rPr>
          <w:rFonts w:ascii="Times New Roman;Times;Serif" w:hAnsi="Times New Roman;Times;Serif"/>
          <w:b w:val="false"/>
          <w:i w:val="false"/>
          <w:caps w:val="false"/>
          <w:smallCaps w:val="false"/>
          <w:sz w:val="20"/>
        </w:rPr>
        <w:t> — Depreciation and amortization consist primarily of depreciation for owned trucks and trailers and to a lesser extent computer software amortization. The primary factors affecting these expense items include the size and age of the Company’s truck and trailer fleets.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and the loss (gain) on sale of equipment increased by $0.9 million, or 6.5%, to $14.8 million in the six months ended June 30, 2026 compared to $13.9 million in 2025. The increase in depreciation and amortization was largely driven by the Brothers acquisition on April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Intangible Amortization </w:t>
      </w:r>
      <w:r>
        <w:rPr>
          <w:rFonts w:ascii="Times New Roman;Times;Serif" w:hAnsi="Times New Roman;Times;Serif"/>
          <w:b w:val="false"/>
          <w:i w:val="false"/>
          <w:caps w:val="false"/>
          <w:smallCaps w:val="false"/>
          <w:sz w:val="20"/>
        </w:rPr>
        <w:t>— Intangible amortization is the amortization of our intangible assets, including customer relationships and trade names, recognized during each acquisition,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amortization remained flat at $4.8 million in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Insurance premiums and claims</w:t>
      </w:r>
      <w:r>
        <w:rPr>
          <w:rFonts w:ascii="Times New Roman;Times;Serif" w:hAnsi="Times New Roman;Times;Serif"/>
          <w:b w:val="false"/>
          <w:i w:val="false"/>
          <w:caps w:val="false"/>
          <w:smallCaps w:val="false"/>
          <w:sz w:val="20"/>
        </w:rPr>
        <w:t> — Insurance premiums and claims consist primarily of retained amounts for liability (personal injury and property damage), physical damage and cargo damage, as well as insurance premiums. The primary factors affecting the Company’s insurance premiums and claims are the frequency and severity of accidents, trends in the development factors used in the Company’s accruals and developments in large, prior year claims. The number of accidents tends to increase with the miles we travel and severe weather conditions. With our significant retained amounts, insurance claims expense may fluctuate significantly and impact the cost of insurance premiums and claims from period-to-period, and any increase in frequency or severity of claims or adverse loss development of prior period claims would adversely affect the Company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premiums and claims increased by $1.0 million, or 10.0%, to $11.3 million in the six months ended June 30, 2026 compared to $10.3 million in 2025. This increase was driven by an increased number of claims during the most recent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selling, and other operating expenses</w:t>
      </w:r>
      <w:r>
        <w:rPr>
          <w:rFonts w:ascii="Times New Roman;Times;Serif" w:hAnsi="Times New Roman;Times;Serif"/>
          <w:b w:val="false"/>
          <w:i w:val="false"/>
          <w:caps w:val="false"/>
          <w:smallCaps w:val="false"/>
          <w:sz w:val="20"/>
        </w:rPr>
        <w:t> — General, selling, and other operating expenses consist primarily of legal and professional services fees, occupancy and other costs. General, selling, and other operating expenses increased by $0.5 million, or 5.5%, to $8.9 million in the six months ended June 30, 2026 compared to $8.4 million in 2025. The increase in general, selling, and other operating expenses was primarily due to the acquisition of Brothers on April 1, 2025 and an increase in office lease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expense, net</w:t>
      </w:r>
      <w:r>
        <w:rPr>
          <w:rFonts w:ascii="Times New Roman;Times;Serif" w:hAnsi="Times New Roman;Times;Serif"/>
          <w:b w:val="false"/>
          <w:i w:val="false"/>
          <w:caps w:val="false"/>
          <w:smallCaps w:val="false"/>
          <w:sz w:val="20"/>
        </w:rPr>
        <w:t> — Interest expense, net consists of cash interest, amortization of deferred financing fees, net of any interest income received from financial institutions. Interest expense, net decreased by $0.6 million, or 17.0%, to $2.8 million in the six months ended June 30, 2026 compared to $3.4 million in 2025. The decrease was primarily due to lower borrowings on equipment loans during the 2026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ratio</w:t>
      </w:r>
      <w:r>
        <w:rPr>
          <w:rFonts w:ascii="Times New Roman;Times;Serif" w:hAnsi="Times New Roman;Times;Serif"/>
          <w:b w:val="false"/>
          <w:i w:val="false"/>
          <w:caps w:val="false"/>
          <w:smallCaps w:val="false"/>
          <w:sz w:val="20"/>
        </w:rPr>
        <w:t> — Operating ratio is calculated as total operating expenses as a percentage of operating revenue. The Company’s operating ratio increased by 3.9% to 105.0% in 2026 as compared to 101.1% in 2025. The increase in operating ratio is due to lower operating revenues along with increased fuel cost, insurance and truck expenses. See “Non-GAAP Financial Measures” section for the Company’s calculation of operating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Adjusted Operating ratio</w:t>
      </w:r>
      <w:r>
        <w:rPr>
          <w:rFonts w:ascii="Times New Roman;Times;Serif" w:hAnsi="Times New Roman;Times;Serif"/>
          <w:b w:val="false"/>
          <w:i w:val="false"/>
          <w:caps w:val="false"/>
          <w:smallCaps w:val="false"/>
          <w:sz w:val="20"/>
        </w:rPr>
        <w:t> — Adjusted operating ratio is calculated as total adjusted operating expenses (operating expenses less stock-based compensation and intangible amortization) as a percentage of operating revenue. The Company’s adjusted operating ratio increased by 3.7% to 101.3% in 2026 as compared to 97.6% in 2025. The increase in adjusted operating ratio is due to lower operating revenues along with increased fuel cost, insurance and truck expenses. See “Non-GAAP Financial Measures” section for the Company’s calculation of operating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EBITDA</w:t>
      </w:r>
      <w:r>
        <w:rPr>
          <w:rFonts w:ascii="Times New Roman;Times;Serif" w:hAnsi="Times New Roman;Times;Serif"/>
          <w:b w:val="false"/>
          <w:i w:val="false"/>
          <w:caps w:val="false"/>
          <w:smallCaps w:val="false"/>
          <w:sz w:val="20"/>
        </w:rPr>
        <w:t> — EBITDA decreased by $7.2 million, or 43.3%, to $9.4 million in 2026 compared to $16.6 million in 2025. The decrease was due to lower operating revenues along with increased fuel cost, insurance and truck expenses. See “Non-GAAP Financial Measures” section for the Company’s calculation of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Adjusted EBITDA</w:t>
      </w:r>
      <w:r>
        <w:rPr>
          <w:rFonts w:ascii="Times New Roman;Times;Serif" w:hAnsi="Times New Roman;Times;Serif"/>
          <w:b w:val="false"/>
          <w:i w:val="false"/>
          <w:caps w:val="false"/>
          <w:smallCaps w:val="false"/>
          <w:sz w:val="20"/>
        </w:rPr>
        <w:t> — Adjusted EBITDA represents net income (loss) plus interest expense, income tax benefit, depreciation expense, intangible amortization expense, and share-based compensation expenses. Adjusted EBITDA decreased by $6.9 million, or 36.3%, to $12.1 million in 2026 compared to $19.0 million in 2025. The decrease was due to lower operating revenues along with increased fuel cost, insurance and truck expenses. See “Non-GAAP Financial Measures” section for the Company’s calculation of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substantial amounts of cash to cover operating expenses as well as to fund capital expenditures, working capital changes, principal and interest payments on our debt obligations, lease payments and tax payments when we generate taxable income. Recently, we have financed our capital requirements with cash flows from operating activities, direct equipment financing, and proceeds from our IPO. We intend to spend between $10 to $15 million per year on new revenue equipment to maintain our desired average age of the fleet. We plan to finance the purchases through a combination of operating cash flows and direct equipment financing. Additional purchases of revenue equipment in a given year will depend on new business added as well as management’s desire to shift the mix of delivery to have higher volume in the Company Drivers segment, which will require growth in the aggregate fleet.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can fund our expected cash needs in the short-term, including debt repayment and the capital purchases described above, with projected cash flows from operating activities, borrowings under our credit facility and direct debt and lease financing that we believe to be available for at least the next 12 months. Over the long-term, we expect that we will continue to have significant capital requirements, which may require us to seek additional borrowings or lease financing. The availability of financing will depend upon our financial condition and results of operations as well as prevailing market 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Sources of liquidity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raised money in the capital markets through an IPO and then subsequently in June 2024 sold additional shares through an over-allotment option. The approximately $30 million remaining after acquiring the Founding Companies was used to support operations for 2024 and to partially fund strategic acquisitions. We anticipate that our cash flows from operations and available direct equipment financing will provide adequate liquidity for our planned capital expenditures during fiscal year 2026. For any new capital expenditures in 2026 and beyond that exceed our cash flow from operations, we have negotiated credit agreements with financial institutions in amounts sufficient to fund planned purchases. While we generally control the timing and extent of our capital expenditures, there is no assurance that we can obtain financing arrangements on terms acceptable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Pinnacle LOC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2024, the Company and certain of its subsidiaries, as borrowers, entered into a Loan and Security Agreement (the “Loan Agreement”) with Pinnacle Bank, as lender (the “Lender”). The Loan Agreement provides for (i) a delayed draw term loan facility of up to an aggregate principal amount of $25 million (the “Term Loan Facility”) and (ii) a revolving credit facility of up to an aggregate principal amount of $20 million at any time outstanding (the “Revolving Credit Facility”), in each case, subject to the terms of the Loan Agreement. Proceeds of the Term Loan Facility may be used to refinance existing indebtedness of the Company, to finance certain permitted acquisitions and fees and expenses related thereto, and to pay fees and transaction expenses associated with the Loan Agreement. Proceeds of the Revolving Credit Facility may be used for general working capital, to pay the fees and transaction expenses associated with the Loan Agreement, and to pay any of the Company’s obligations thereunder. The loans under the Loan Agreement may be voluntarily prepaid at any time, in whole or in part, without premium or penalty. The maturity date of the Term Loan Facility is April 2031, and the maturity date of the Revolving Credit Facility is November 8,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Loan Agreement bear interest at a rate per annum equal to Term SOFR for an interest period equal to one month plus a margin of (x) 2.50% per annum with respect to any loan under the Term Loan Facility and (y) 2.20% per annum with respect to any loan under the Revolving Credit Facility. In addition, the Company is required to pay an unused line fee on the unutilized commitments with respect to the Revolving Credit Facility at the rate of 0.15%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affirmative and negative covenants, including covenants that restrict the ability of the Company and its subsidiaries to, among other things, incur debt, grant liens on their respective assets, engage in mergers and other fundamental changes, make investments, enter into transactions with affiliates, pay dividends and make other restricted payments, prepay other indebtedness and sell assets, in each case subject to certain exceptions set forth in the Loan Agreement. The Loan Agreement also requires the Company to maintain (i) a Fixed Charge Coverage Ratio (as defined in the Loan Agreement) of greater than or equal to 1.25 to 1.00 and (ii) a Funded Debt to Adjusted EBITDA Ratio (as defined in the Loan Agreement) of less than or equal to 3.00 to 1.00, in each case, as of the end of each fiscal quarter. The Company was in compliance with its debt covenants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under the Loan Agreement and the guarantees of those obligations are secured, subject to certain exceptions, by a security interest on substantially all of the property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drew $9.0 million to fund the cash portion of the Brothers Auto Transport, LLC acquisition. On June 30, 2026, the amounts outstanding on the term debt and the line of credit were approximately $19.5 million and $6.7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cash flows from operating activities were $0.7 million, a $12.5 million decrease compared to the six months ended June 30, 2025. We had a decrease in adjusted operating income of $4.3 million to $11.0 million in the six months ended June 30, 2026 compared to $15.3 million in the prior period, after accounting for non-cash adjustments, which was offset by a decrease in working capital of $7.2 million when comparing period over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cash flows used in investing activities were $2.4 million compared to $11.1 million for the six months ended June 30, 2025. The decrease of $8.7 million when comparing periods is mainly due to the absence of an acquisition in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cash flows used in financing activities were $4.4 million, which was an increase of $0.6 million compared to the six months ended June 30, 2025. This increase was due to a decrease in borrowings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the JOBS Act. As an emerging growth company, we may take advantage of specified reduced disclosure and other requirements that are otherwise applicable generally to public companies. These provisions include: (i) reduced disclosure about our executive compensation arrangements; (ii) not being required to hold advisory votes on executive compensation or to obtain stockholder approval of any golden parachute arrangements not previously approved; (iii) an exemption from the auditor attestation requirement in the assessment of our internal control over financial reporting pursuant to the Sarbanes-Oxley Act of 2002; and (iv) an exemption from compliance with the requirements of the Public Company Accounting Oversight Board regarding the communication of critical audit matters in the auditor’s report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the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Quarterly Report.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interest rates affect the amount of interest due on our variable rate debt. As of June 30, 2026, we had variable rate borrowings on the Term Debt of $19.5 million and $6.7 million under our Revolving Line of Credit. We currently use Term </w:t>
      </w:r>
      <w:r>
        <w:rPr>
          <w:rFonts w:ascii="Times New Roman;Times;Serif" w:hAnsi="Times New Roman;Times;Serif"/>
          <w:b w:val="false"/>
          <w:i/>
          <w:caps w:val="false"/>
          <w:smallCaps w:val="false"/>
          <w:sz w:val="20"/>
        </w:rPr>
        <w:t>SOFR</w:t>
      </w:r>
      <w:r>
        <w:rPr>
          <w:rFonts w:ascii="Times New Roman;Times;Serif" w:hAnsi="Times New Roman;Times;Serif"/>
          <w:b w:val="false"/>
          <w:i w:val="false"/>
          <w:caps w:val="false"/>
          <w:smallCaps w:val="false"/>
          <w:sz w:val="20"/>
        </w:rPr>
        <w:t xml:space="preserve"> as a reference rate for our variable rate debt, and any future increases in Term </w:t>
      </w:r>
      <w:r>
        <w:rPr>
          <w:rFonts w:ascii="Times New Roman;Times;Serif" w:hAnsi="Times New Roman;Times;Serif"/>
          <w:b w:val="false"/>
          <w:i/>
          <w:caps w:val="false"/>
          <w:smallCaps w:val="false"/>
          <w:sz w:val="20"/>
        </w:rPr>
        <w:t>SOFR</w:t>
      </w:r>
      <w:r>
        <w:rPr>
          <w:rFonts w:ascii="Times New Roman;Times;Serif" w:hAnsi="Times New Roman;Times;Serif"/>
          <w:b w:val="false"/>
          <w:i w:val="false"/>
          <w:caps w:val="false"/>
          <w:smallCaps w:val="false"/>
          <w:sz w:val="20"/>
        </w:rPr>
        <w:t xml:space="preserve"> will inherently result in an increase in interest expense and cash paid toward interest.  We performed a sensitivity analysis to determine the effect of interest rate fluctuations on our interest expense. A hypothetical 1 percentage point increase in Term </w:t>
      </w:r>
      <w:r>
        <w:rPr>
          <w:rFonts w:ascii="Times New Roman;Times;Serif" w:hAnsi="Times New Roman;Times;Serif"/>
          <w:b w:val="false"/>
          <w:i/>
          <w:caps w:val="false"/>
          <w:smallCaps w:val="false"/>
          <w:sz w:val="20"/>
        </w:rPr>
        <w:t>SOFR</w:t>
      </w:r>
      <w:r>
        <w:rPr>
          <w:rFonts w:ascii="Times New Roman;Times;Serif" w:hAnsi="Times New Roman;Times;Serif"/>
          <w:b w:val="false"/>
          <w:i w:val="false"/>
          <w:caps w:val="false"/>
          <w:smallCaps w:val="false"/>
          <w:sz w:val="20"/>
        </w:rPr>
        <w:t xml:space="preserve"> would result in an increase to interest expense of $242,725 over 12 months based on amounts outstanding and interest rates in effect as of July 1, 2026.</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Fuel Cost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Company’s operating expenses are inflation-sensitive, with inflation generally producing increased costs of operations. Historically, the Company has limited the effects of inflation on its business through increases in freight rates and certain cost controls. The most relevant items impacted by inflation to the Company are the cost to insure and maintain the fleet. Significant inflation has been experienced in insurance and claims costs related to health insurance and claims as well as auto liability insurance and claims. Significant price increases in revenue equipment have impacted the cost for the Company to acquire new equipment. The cost increases have also impacted the cost of parts for equipment repairs and maintenance, inclusive of tires. Over the long term, general economic growth and industry supply and demand conditions have allowed increases in rates charged to customers, although these rate increases have significantly lagged the increases in tractor prices and related depreciation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inflation, significant fluctuations in fuel prices can adversely affect the Company’s operating results and profitability. The Company has attempted to limit the effects of increases in fuel prices through certain cost control efforts and the fuel surcharge programs administered by customers. The Company receives fuel surcharge revenue on substantially all moves, though it passes this revenue through in many instances in its Subhauler segment. Although the Company historically has been able to recover most long-term increases in fuel prices and operating taxes from customers in the form of surcharge and higher rates, these arrangements generally do not fully protect the Company from short-term fuel price increases or continued rising price environments, as has recently occurred with Middle East conflict and the resulting fuel price spike. Additionally, the Company does not receive fuel surcharge on empty miles.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Controls and Procedures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are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of our disclosure controls and procedures as of June 30, 2026, our chief executive officer and chief financial officer concluded that our disclosure controls and procedures were not effective.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material weakness in our internal control over financial reporting, our Chief Executive Officer and Chief Financial Officer have concluded that our Condensed Consolidated Financial Statements present fairly, in all material respects, our financial position, results of operations and cash flows in accordance with GAAP.</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connection with the preparation of the Company’s audited financial statements for the year ended December 31, 2025, a material weakness in the Company’s internal controls over financial reporting was identified and, if our remediation is not effective, or if we fail to maintain an effective system of internal controls over financial reporting in the future, we may not be able to accurately or timely report our financial condition or results of operations, which may adversely affect investor confidence and profitability.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the Company’s internal controls over financial reporting.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 identified was related to IT general controls in Company’s financial systems and closing processes in the period after our IPO and prior to full integration of systems, including account reconciliations and review surrounding the close process.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steps have been taken to improve the Company’s internal controls over financial reporting to address the underlying causes, including: completion of systems integration to a common enterprise transportation management and accounting platform, designing and implementing increased controls, increasing oversight and review of technical systems and engaging third-parties to support control design and testing. As of December 31, 2025, all operating companies have been converted to one accounting technology platform and in June 2026, we moved all repair facilities into one fleet maintenance platform. Having all companies operating under one accounting technology platform has allowed the Company to implement improved internal controls related to financial reporting and has given us more oversight over the financial information being generated. We hired an independent consulting firm, who has assisted with redesigning our internal controls over financial reporting and information technology and we anticipate being completed with all remaining remediation steps in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our efforts have improved the Company’s internal controls over financial reporting, the implementation and oversight of control measures is ongoing and will require validation and testing of the design and operating effectiveness of internal controls over a sustained period of financial reporting cycles. If, however, we are unable to successfully remediate the existing or any future material weakness, the accuracy of our financial reporting may be adversely affected, which could cause investors to lose confidence in our financial reporting and our share price and profitability may decline as a result.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enhancements to controls to address the material weakness discussed above, there were no changes to our internal control over financial reporting during the three months ended June 30, 2026, that have materially affected, or are reasonably likely to materially affect, our internal controls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from time to time in various legal proceedings and governmental and regulatory proceedings that arise in the ordinary course of business. The Company does not believe that such litigation, claims, and administrative proceedings will have a material adverse impact on the Company’s financial position or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various risks and uncertainties. You should review and consider carefully the risks and uncertainties described in more detail in Item 1A of Part I of our Annual Report on Form 10-K for the year ended December 31, 2025. There were no material changes from the risk factors previously disclosed in Part I, Item 1A “Risk Factors” in our Annual Report on Form 10-K for the year ended December 31, 2025, except for the following: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proposed acquisition of H&amp;A is subject to significant uncertainties and risks, including that the acquisition may not be completed on the terms or timeline currently contemplated, or at all, and the failure to complete the acquisition may adversely affect our stock price, future business and financial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acquisition is subject to certain customary closing conditions being satisfied or waived. There can be no assurance that the conditions to closing will be satisfied or waived or that other events will not intervene to delay or result in the termination of the proposed acquisition. If the acquisition is not completed for any reason, the trading price of our common stock may decline to the extent that the market price of the common stock reflects positive market assumptions that the acquisition will be completed and the related benefits will be realized.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expected to be consummated in accordance with the terms of the purchase agreement. However, the purchase agreement may be amended and the closing conditions may be waived at any time by the parties thereto. Any amendment made to the purchase agreement, or waiver of the conditions to the closing of the acquisition, could have a material adverse effect on our business, financial conditions and results of operations and could have an adverse effect on the trading price of our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control H&amp;A and will not control H&amp;A until completion of the acquisition.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control H&amp;A. We will not obtain control of H&amp;A until the completion of the acquisition. We cannot assure you that H&amp;A will operate its businesses during the interim period in the same way that we would. The business we acquire could be negatively impacted before or after the closing as a result of previously unknown events or conditions occurring or existing before the acquisition closes. Adverse changes in H&amp;A’s business or operations could occur or arise as a result of actions undertaken, legal or regulatory developments, deteriorating general business, market, industry or economic conditions, and other factors both within and beyond H&amp;A’s or our control. A significant decline in the value of the assets to be acquired or a significant increase in the liabilities to be assumed could negatively impact our future business, operating results, cash flows, financial conditions or prospects following the closing of the acquisition.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of H&amp;A may underperform relative to our expectations.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the levels of revenue, earnings or operating efficiency that we and H&amp;A have achieved or might achieve separately. The business and financial performance of H&amp;A is subject to certain risks and uncertainties, including the risk of the loss of, or changes to, its relationships with its customers. We may be unable to achieve the same growth, revenues and profitability that H&amp;A has achieved in the past.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enforce claims with respect to the representations and warranties under the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we were given certain limited customary representations and warranties related to H&amp;A’s performance and business operations. There can be no assurance that we will be able to enforce any claims relating to any breaches of such representations and warranties. Our recourse for breaches of representations and warranties is limited and there can be no assurance that such limited liability, to the extent enforced, will be adequate to cover any losses or damages resulting from any such breach of the representations and warranties. Moreover, even if we ultimately succeed in recovering any amounts for any such breach, we may temporarily be required to bear these losses ourselves.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2. Unregistered Sales of Equity Securities and Use of Proceeds and Issuer Repurchases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sell any unregistered equity securities during the six- or three-month period ended June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repurchase any shares of our common stock during the three-month period ended June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3. Defaults Upon Senior Securities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4. Mine Safety Disclosures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None of our officers or directors, as defined in Rule 16a-1(f), adopted, modified, or terminated a “Rule 10b5-1 trading arrangement” or a “non-Rule 10b5-1 trading arrangement,” as defined in Item 408 of Regulation S-K, during the three  months ended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7"/>
        <w:gridCol w:w="60"/>
        <w:gridCol w:w="9318"/>
      </w:tblGrid>
      <w:tr>
        <w:trPr/>
        <w:tc>
          <w:tcPr>
            <w:tcW w:w="827"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18" w:type="dxa"/>
            <w:tcBorders/>
            <w:tcMar>
              <w:bottom w:w="0" w:type="dxa"/>
            </w:tcMar>
            <w:vAlign w:val="center"/>
          </w:tcPr>
          <w:p>
            <w:pPr>
              <w:pStyle w:val="TableContents"/>
              <w:bidi w:val="0"/>
              <w:spacing w:before="0" w:after="283"/>
              <w:jc w:val="left"/>
              <w:rPr/>
            </w:pPr>
            <w:r>
              <w:rPr/>
              <w:t> </w:t>
            </w:r>
          </w:p>
        </w:tc>
      </w:tr>
      <w:tr>
        <w:trPr/>
        <w:tc>
          <w:tcPr>
            <w:tcW w:w="827" w:type="dxa"/>
            <w:tcBorders/>
            <w:shd w:fill="CCEEFF" w:val="clear"/>
            <w:tcMar>
              <w:bottom w:w="0" w:type="dxa"/>
            </w:tcMar>
            <w:vAlign w:val="center"/>
          </w:tcPr>
          <w:p>
            <w:pPr>
              <w:pStyle w:val="TableContents"/>
              <w:bidi w:val="0"/>
              <w:spacing w:before="0" w:after="283"/>
              <w:jc w:val="left"/>
              <w:rPr/>
            </w:pPr>
            <w:r>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8" w:type="dxa"/>
            <w:tcBorders/>
            <w:shd w:fill="CCEEFF" w:val="clear"/>
            <w:tcMar>
              <w:bottom w:w="0" w:type="dxa"/>
            </w:tcMar>
            <w:vAlign w:val="center"/>
          </w:tcPr>
          <w:p>
            <w:pPr>
              <w:pStyle w:val="TableContents"/>
              <w:bidi w:val="0"/>
              <w:spacing w:before="0" w:after="283"/>
              <w:jc w:val="both"/>
              <w:rPr/>
            </w:pPr>
            <w:hyperlink w:anchor="ea030119001ex31-1.htm">
              <w:r>
                <w:rPr>
                  <w:rStyle w:val="InternetLink"/>
                </w:rPr>
                <w:t>Certification by principal executive officer pursuant to Rule 13A-14(a) or 15D-14(a) of the Securities Exchange Act of 1934, as adopted pursuant to Section 302 of the Sarbanes-Oxley Act of 2002.</w:t>
              </w:r>
            </w:hyperlink>
          </w:p>
        </w:tc>
      </w:tr>
      <w:tr>
        <w:trPr/>
        <w:tc>
          <w:tcPr>
            <w:tcW w:w="827" w:type="dxa"/>
            <w:tcBorders/>
            <w:shd w:fill="FFFFFF" w:val="clear"/>
            <w:tcMar>
              <w:bottom w:w="0" w:type="dxa"/>
            </w:tcMar>
            <w:vAlign w:val="center"/>
          </w:tcPr>
          <w:p>
            <w:pPr>
              <w:pStyle w:val="TableContents"/>
              <w:bidi w:val="0"/>
              <w:spacing w:before="0" w:after="283"/>
              <w:jc w:val="left"/>
              <w:rPr/>
            </w:pPr>
            <w:r>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18" w:type="dxa"/>
            <w:tcBorders/>
            <w:shd w:fill="FFFFFF" w:val="clear"/>
            <w:tcMar>
              <w:bottom w:w="0" w:type="dxa"/>
            </w:tcMar>
            <w:vAlign w:val="center"/>
          </w:tcPr>
          <w:p>
            <w:pPr>
              <w:pStyle w:val="TableContents"/>
              <w:bidi w:val="0"/>
              <w:spacing w:before="0" w:after="283"/>
              <w:jc w:val="both"/>
              <w:rPr/>
            </w:pPr>
            <w:hyperlink w:anchor="ea030119001ex31-2.htm">
              <w:r>
                <w:rPr>
                  <w:rStyle w:val="InternetLink"/>
                </w:rPr>
                <w:t>Certification by principal financial officer pursuant to Rule 13A-14(a) or 15D-14(a) of the Securities Exchange Act of 1934, as adopted pursuant to Section 302 of the Sarbanes-Oxley Act of 2002.</w:t>
              </w:r>
            </w:hyperlink>
          </w:p>
        </w:tc>
      </w:tr>
      <w:tr>
        <w:trPr/>
        <w:tc>
          <w:tcPr>
            <w:tcW w:w="827" w:type="dxa"/>
            <w:tcBorders/>
            <w:shd w:fill="CCEEFF" w:val="clear"/>
            <w:tcMar>
              <w:bottom w:w="0" w:type="dxa"/>
            </w:tcMar>
            <w:vAlign w:val="center"/>
          </w:tcPr>
          <w:p>
            <w:pPr>
              <w:pStyle w:val="TableContents"/>
              <w:bidi w:val="0"/>
              <w:spacing w:before="0" w:after="283"/>
              <w:jc w:val="left"/>
              <w:rPr/>
            </w:pPr>
            <w:r>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8" w:type="dxa"/>
            <w:tcBorders/>
            <w:shd w:fill="CCEEFF" w:val="clear"/>
            <w:tcMar>
              <w:bottom w:w="0" w:type="dxa"/>
            </w:tcMar>
            <w:vAlign w:val="center"/>
          </w:tcPr>
          <w:p>
            <w:pPr>
              <w:pStyle w:val="TableContents"/>
              <w:bidi w:val="0"/>
              <w:spacing w:before="0" w:after="283"/>
              <w:jc w:val="both"/>
              <w:rPr/>
            </w:pPr>
            <w:hyperlink w:anchor="ea030119001ex32-1.htm">
              <w:r>
                <w:rPr>
                  <w:rStyle w:val="InternetLink"/>
                </w:rPr>
                <w:t>Certification by principal executive officer pursuant to 18 U.S.C. Section 1350, as adopted pursuant to Section 906 of the Sarbanes-Oxley Act of 2002.</w:t>
              </w:r>
            </w:hyperlink>
          </w:p>
        </w:tc>
      </w:tr>
      <w:tr>
        <w:trPr/>
        <w:tc>
          <w:tcPr>
            <w:tcW w:w="827" w:type="dxa"/>
            <w:tcBorders/>
            <w:shd w:fill="FFFFFF" w:val="clear"/>
            <w:tcMar>
              <w:bottom w:w="0" w:type="dxa"/>
            </w:tcMar>
            <w:vAlign w:val="center"/>
          </w:tcPr>
          <w:p>
            <w:pPr>
              <w:pStyle w:val="TableContents"/>
              <w:bidi w:val="0"/>
              <w:spacing w:before="0" w:after="283"/>
              <w:jc w:val="left"/>
              <w:rPr/>
            </w:pPr>
            <w:r>
              <w:rPr/>
              <w:t>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18" w:type="dxa"/>
            <w:tcBorders/>
            <w:shd w:fill="FFFFFF" w:val="clear"/>
            <w:tcMar>
              <w:bottom w:w="0" w:type="dxa"/>
            </w:tcMar>
            <w:vAlign w:val="center"/>
          </w:tcPr>
          <w:p>
            <w:pPr>
              <w:pStyle w:val="TableContents"/>
              <w:bidi w:val="0"/>
              <w:spacing w:before="0" w:after="283"/>
              <w:jc w:val="both"/>
              <w:rPr/>
            </w:pPr>
            <w:hyperlink w:anchor="ea030119001ex32-2.htm">
              <w:r>
                <w:rPr>
                  <w:rStyle w:val="InternetLink"/>
                </w:rPr>
                <w:t>Certification by principal financial officer pursuant to 18 U.S.C. Section 1350, as adopted pursuant to Section 906 of the Sarbanes-Oxley Act of 2002.</w:t>
              </w:r>
            </w:hyperlink>
          </w:p>
        </w:tc>
      </w:tr>
      <w:tr>
        <w:trPr/>
        <w:tc>
          <w:tcPr>
            <w:tcW w:w="827"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8" w:type="dxa"/>
            <w:tcBorders/>
            <w:shd w:fill="CCEEFF" w:val="clear"/>
            <w:tcMar>
              <w:bottom w:w="0" w:type="dxa"/>
            </w:tcMar>
            <w:vAlign w:val="center"/>
          </w:tcPr>
          <w:p>
            <w:pPr>
              <w:pStyle w:val="TableContents"/>
              <w:bidi w:val="0"/>
              <w:spacing w:before="0" w:after="283"/>
              <w:jc w:val="both"/>
              <w:rPr/>
            </w:pPr>
            <w:r>
              <w:rPr/>
              <w:t>Inline XBRL Instance Document - the instance document does not appear on the Interactive Data File because its XBRL tags are embedded within the Inline XBRL document</w:t>
            </w:r>
          </w:p>
        </w:tc>
      </w:tr>
      <w:tr>
        <w:trPr/>
        <w:tc>
          <w:tcPr>
            <w:tcW w:w="827" w:type="dxa"/>
            <w:tcBorders/>
            <w:shd w:fill="FFFFFF" w:val="clear"/>
            <w:tcMar>
              <w:bottom w:w="0" w:type="dxa"/>
            </w:tcMar>
            <w:vAlign w:val="center"/>
          </w:tcPr>
          <w:p>
            <w:pPr>
              <w:pStyle w:val="TableContents"/>
              <w:bidi w:val="0"/>
              <w:spacing w:before="0" w:after="283"/>
              <w:jc w:val="left"/>
              <w:rPr/>
            </w:pPr>
            <w:r>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18" w:type="dxa"/>
            <w:tcBorders/>
            <w:shd w:fill="FFFFFF" w:val="clear"/>
            <w:tcMar>
              <w:bottom w:w="0" w:type="dxa"/>
            </w:tcMar>
            <w:vAlign w:val="center"/>
          </w:tcPr>
          <w:p>
            <w:pPr>
              <w:pStyle w:val="TableContents"/>
              <w:bidi w:val="0"/>
              <w:spacing w:before="0" w:after="283"/>
              <w:jc w:val="left"/>
              <w:rPr/>
            </w:pPr>
            <w:r>
              <w:rPr/>
              <w:t>Inline XBRL Taxonomy Extension Schema Document</w:t>
            </w:r>
          </w:p>
        </w:tc>
      </w:tr>
      <w:tr>
        <w:trPr/>
        <w:tc>
          <w:tcPr>
            <w:tcW w:w="827"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8" w:type="dxa"/>
            <w:tcBorders/>
            <w:shd w:fill="CCEEFF" w:val="clear"/>
            <w:tcMar>
              <w:bottom w:w="0" w:type="dxa"/>
            </w:tcMar>
            <w:vAlign w:val="center"/>
          </w:tcPr>
          <w:p>
            <w:pPr>
              <w:pStyle w:val="TableContents"/>
              <w:bidi w:val="0"/>
              <w:spacing w:before="0" w:after="283"/>
              <w:jc w:val="left"/>
              <w:rPr/>
            </w:pPr>
            <w:r>
              <w:rPr/>
              <w:t>Inline XBRL Taxonomy Extension Calculation Linkbase Document</w:t>
            </w:r>
          </w:p>
        </w:tc>
      </w:tr>
      <w:tr>
        <w:trPr/>
        <w:tc>
          <w:tcPr>
            <w:tcW w:w="827" w:type="dxa"/>
            <w:tcBorders/>
            <w:shd w:fill="FFFFFF" w:val="clear"/>
            <w:tcMar>
              <w:bottom w:w="0" w:type="dxa"/>
            </w:tcMar>
            <w:vAlign w:val="center"/>
          </w:tcPr>
          <w:p>
            <w:pPr>
              <w:pStyle w:val="TableContents"/>
              <w:bidi w:val="0"/>
              <w:spacing w:before="0" w:after="283"/>
              <w:jc w:val="left"/>
              <w:rPr/>
            </w:pPr>
            <w:r>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18" w:type="dxa"/>
            <w:tcBorders/>
            <w:shd w:fill="FFFFFF" w:val="clear"/>
            <w:tcMar>
              <w:bottom w:w="0" w:type="dxa"/>
            </w:tcMar>
            <w:vAlign w:val="center"/>
          </w:tcPr>
          <w:p>
            <w:pPr>
              <w:pStyle w:val="TableContents"/>
              <w:bidi w:val="0"/>
              <w:spacing w:before="0" w:after="283"/>
              <w:jc w:val="left"/>
              <w:rPr/>
            </w:pPr>
            <w:r>
              <w:rPr/>
              <w:t>Inline XBRL Taxonomy Extension Definition Linkbase Document</w:t>
            </w:r>
          </w:p>
        </w:tc>
      </w:tr>
      <w:tr>
        <w:trPr/>
        <w:tc>
          <w:tcPr>
            <w:tcW w:w="827"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8" w:type="dxa"/>
            <w:tcBorders/>
            <w:shd w:fill="CCEEFF" w:val="clear"/>
            <w:tcMar>
              <w:bottom w:w="0" w:type="dxa"/>
            </w:tcMar>
            <w:vAlign w:val="center"/>
          </w:tcPr>
          <w:p>
            <w:pPr>
              <w:pStyle w:val="TableContents"/>
              <w:bidi w:val="0"/>
              <w:spacing w:before="0" w:after="283"/>
              <w:jc w:val="left"/>
              <w:rPr/>
            </w:pPr>
            <w:r>
              <w:rPr/>
              <w:t>Inline XBRL Taxonomy Extension Label Linkbase Document</w:t>
            </w:r>
          </w:p>
        </w:tc>
      </w:tr>
      <w:tr>
        <w:trPr/>
        <w:tc>
          <w:tcPr>
            <w:tcW w:w="827" w:type="dxa"/>
            <w:tcBorders/>
            <w:shd w:fill="FFFFFF" w:val="clear"/>
            <w:tcMar>
              <w:bottom w:w="0" w:type="dxa"/>
            </w:tcMar>
            <w:vAlign w:val="center"/>
          </w:tcPr>
          <w:p>
            <w:pPr>
              <w:pStyle w:val="TableContents"/>
              <w:bidi w:val="0"/>
              <w:spacing w:before="0" w:after="283"/>
              <w:jc w:val="left"/>
              <w:rPr/>
            </w:pPr>
            <w:r>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18" w:type="dxa"/>
            <w:tcBorders/>
            <w:shd w:fill="FFFFFF" w:val="clear"/>
            <w:tcMar>
              <w:bottom w:w="0" w:type="dxa"/>
            </w:tcMar>
            <w:vAlign w:val="center"/>
          </w:tcPr>
          <w:p>
            <w:pPr>
              <w:pStyle w:val="TableContents"/>
              <w:bidi w:val="0"/>
              <w:spacing w:before="0" w:after="283"/>
              <w:jc w:val="left"/>
              <w:rPr/>
            </w:pPr>
            <w:r>
              <w:rPr/>
              <w:t>Inline XBRL Taxonomy Extension Presentation Linkbase Document</w:t>
            </w:r>
          </w:p>
        </w:tc>
      </w:tr>
      <w:tr>
        <w:trPr/>
        <w:tc>
          <w:tcPr>
            <w:tcW w:w="827"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8" w:type="dxa"/>
            <w:tcBorders/>
            <w:shd w:fill="CCEEFF" w:val="clear"/>
            <w:tcMar>
              <w:bottom w:w="0" w:type="dxa"/>
            </w:tcMar>
            <w:vAlign w:val="center"/>
          </w:tcPr>
          <w:p>
            <w:pPr>
              <w:pStyle w:val="TableContents"/>
              <w:bidi w:val="0"/>
              <w:spacing w:before="0" w:after="283"/>
              <w:jc w:val="both"/>
              <w:rPr/>
            </w:pPr>
            <w: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195"/>
        <w:gridCol w:w="425"/>
        <w:gridCol w:w="4265"/>
      </w:tblGrid>
      <w:tr>
        <w:trPr/>
        <w:tc>
          <w:tcPr>
            <w:tcW w:w="21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left"/>
              <w:rPr/>
            </w:pPr>
            <w:r>
              <w:rPr/>
              <w:t>Proficient Auto Logistics, Inc.</w:t>
            </w:r>
          </w:p>
        </w:tc>
      </w:tr>
      <w:tr>
        <w:trPr/>
        <w:tc>
          <w:tcPr>
            <w:tcW w:w="2195"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14, 2026</w:t>
            </w:r>
          </w:p>
        </w:tc>
        <w:tc>
          <w:tcPr>
            <w:tcW w:w="425" w:type="dxa"/>
            <w:tcBorders/>
            <w:vAlign w:val="center"/>
          </w:tcPr>
          <w:p>
            <w:pPr>
              <w:pStyle w:val="TableContents"/>
              <w:bidi w:val="0"/>
              <w:spacing w:before="0" w:after="283"/>
              <w:jc w:val="left"/>
              <w:rPr/>
            </w:pPr>
            <w:r>
              <w:rPr/>
              <w:t xml:space="preserve">By: </w:t>
            </w:r>
          </w:p>
        </w:tc>
        <w:tc>
          <w:tcPr>
            <w:tcW w:w="4265" w:type="dxa"/>
            <w:tcBorders>
              <w:bottom w:val="single" w:sz="12" w:space="0" w:color="000000"/>
            </w:tcBorders>
            <w:tcMar>
              <w:bottom w:w="28" w:type="dxa"/>
            </w:tcMar>
            <w:vAlign w:val="center"/>
          </w:tcPr>
          <w:p>
            <w:pPr>
              <w:pStyle w:val="TableContents"/>
              <w:bidi w:val="0"/>
              <w:spacing w:before="0" w:after="283"/>
              <w:jc w:val="left"/>
              <w:rPr/>
            </w:pPr>
            <w:r>
              <w:rPr/>
              <w:t>/s/ Richard O’Dell</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Richard O’Dell</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Chief Executive Officer</w:t>
              <w:br/>
              <w:t>(Principal Executive Officer)</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4265" w:type="dxa"/>
            <w:tcBorders>
              <w:bottom w:val="single" w:sz="12" w:space="0" w:color="000000"/>
            </w:tcBorders>
            <w:tcMar>
              <w:bottom w:w="28" w:type="dxa"/>
            </w:tcMar>
            <w:vAlign w:val="center"/>
          </w:tcPr>
          <w:p>
            <w:pPr>
              <w:pStyle w:val="TableContents"/>
              <w:bidi w:val="0"/>
              <w:spacing w:before="0" w:after="283"/>
              <w:jc w:val="left"/>
              <w:rPr/>
            </w:pPr>
            <w:r>
              <w:rPr/>
              <w:t>/s/ Brad Wright</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Brad Wright</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xml:space="preserve">Chief Financial Officer and Secretary </w:t>
              <w:b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119001ex31-1.htm"/>
      <w:bookmarkStart w:id="19" w:name="ksea030119001ex311"/>
      <w:bookmarkEnd w:id="18"/>
      <w:bookmarkEnd w:id="19"/>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CERTIFICATION</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Richard O’Dell, certify that: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t>I have reviewed this Quarterly Report on Form 10-Q for the period ended June 30, 2026, of Proficient Auto Logistics, Inc.;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15" w:right="0" w:hanging="0"/>
        <w:jc w:val="left"/>
        <w:rPr>
          <w:caps w:val="false"/>
          <w:smallCaps w:val="false"/>
        </w:rPr>
      </w:pPr>
      <w:r>
        <w:rPr>
          <w:caps w:val="false"/>
          <w:smallCaps w:val="false"/>
        </w:rPr>
        <w:t> </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xml:space="preserve">Date: August 14, 2026 </w:t>
            </w:r>
          </w:p>
        </w:tc>
      </w:tr>
      <w:tr>
        <w:trPr/>
        <w:tc>
          <w:tcPr>
            <w:tcW w:w="75" w:type="dxa"/>
            <w:tcBorders/>
            <w:vAlign w:val="center"/>
          </w:tcPr>
          <w:p>
            <w:pPr>
              <w:pStyle w:val="TableContents"/>
              <w:bidi w:val="0"/>
              <w:spacing w:before="0" w:after="283"/>
              <w:jc w:val="both"/>
              <w:rPr/>
            </w:pPr>
            <w:r>
              <w:rPr/>
              <w:t> </w:t>
            </w:r>
          </w:p>
        </w:tc>
        <w:tc>
          <w:tcPr>
            <w:tcW w:w="27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/s/ Richard O’Dell</w:t>
            </w:r>
          </w:p>
        </w:tc>
      </w:tr>
      <w:tr>
        <w:trPr/>
        <w:tc>
          <w:tcPr>
            <w:tcW w:w="75" w:type="dxa"/>
            <w:tcBorders/>
            <w:vAlign w:val="center"/>
          </w:tcPr>
          <w:p>
            <w:pPr>
              <w:pStyle w:val="TableContents"/>
              <w:bidi w:val="0"/>
              <w:spacing w:before="0" w:after="283"/>
              <w:jc w:val="both"/>
              <w:rPr/>
            </w:pPr>
            <w:r>
              <w:rPr/>
              <w:t> </w:t>
            </w:r>
          </w:p>
        </w:tc>
        <w:tc>
          <w:tcPr>
            <w:tcW w:w="2765" w:type="dxa"/>
            <w:tcBorders/>
            <w:vAlign w:val="center"/>
          </w:tcPr>
          <w:p>
            <w:pPr>
              <w:pStyle w:val="TableContents"/>
              <w:bidi w:val="0"/>
              <w:spacing w:before="0" w:after="283"/>
              <w:jc w:val="left"/>
              <w:rPr/>
            </w:pPr>
            <w:r>
              <w:rPr/>
              <w:t xml:space="preserve">Chief Executive Officer </w:t>
              <w:b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119001ex31-2.htm"/>
      <w:bookmarkStart w:id="21" w:name="ksea030119001ex312"/>
      <w:bookmarkEnd w:id="20"/>
      <w:bookmarkEnd w:id="21"/>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CERTIFICATION</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Brad Wright, certify that: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t>I have reviewed this Quarterly Report on Form 10-Q for the period ended June 30, 2026, of Proficient Auto Logistics, Inc.;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15"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75"/>
        <w:gridCol w:w="3575"/>
      </w:tblGrid>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both"/>
              <w:rPr/>
            </w:pPr>
            <w:r>
              <w:rPr/>
              <w:t xml:space="preserve">Date: August 14, 2026 </w:t>
            </w:r>
          </w:p>
        </w:tc>
      </w:tr>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5" w:type="dxa"/>
            <w:tcBorders>
              <w:bottom w:val="single" w:sz="12" w:space="0" w:color="000000"/>
            </w:tcBorders>
            <w:tcMar>
              <w:bottom w:w="28" w:type="dxa"/>
            </w:tcMar>
            <w:vAlign w:val="center"/>
          </w:tcPr>
          <w:p>
            <w:pPr>
              <w:pStyle w:val="TableContents"/>
              <w:bidi w:val="0"/>
              <w:spacing w:before="0" w:after="283"/>
              <w:jc w:val="both"/>
              <w:rPr/>
            </w:pPr>
            <w:r>
              <w:rPr/>
              <w:t>/s/ Brad Wright</w:t>
            </w:r>
          </w:p>
        </w:tc>
      </w:tr>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283"/>
              <w:jc w:val="left"/>
              <w:rPr/>
            </w:pPr>
            <w:r>
              <w:rPr/>
              <w:t>Chief Financial Officer and Secretary</w:t>
            </w:r>
          </w:p>
        </w:tc>
      </w:tr>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119001ex32-1.htm"/>
      <w:bookmarkStart w:id="23" w:name="ksea030119001ex321"/>
      <w:bookmarkEnd w:id="22"/>
      <w:bookmarkEnd w:id="23"/>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firstLine="126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Proficient Auto Logistics, Inc. (the “Company”) on Form 10-Q for the period ended June 30, 2026 as filed with the Securities and Exchange Commission on the date hereof (the “Report”), I, Richard O’Dell, certify, pursuant to 18 U.S.C. §1350, as adopted pursuant to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5040" w:right="0" w:hanging="0"/>
        <w:jc w:val="left"/>
        <w:rPr>
          <w:caps w:val="false"/>
          <w:smallCaps w:val="false"/>
        </w:rPr>
      </w:pPr>
      <w:r>
        <w:rPr>
          <w:caps w:val="false"/>
          <w:smallCaps w:val="false"/>
        </w:rPr>
        <w:t> </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/s/ Richard O’Dell</w:t>
            </w:r>
          </w:p>
        </w:tc>
      </w:tr>
      <w:tr>
        <w:trPr/>
        <w:tc>
          <w:tcPr>
            <w:tcW w:w="75" w:type="dxa"/>
            <w:tcBorders/>
            <w:vAlign w:val="center"/>
          </w:tcPr>
          <w:p>
            <w:pPr>
              <w:pStyle w:val="TableContents"/>
              <w:bidi w:val="0"/>
              <w:spacing w:before="0" w:after="283"/>
              <w:jc w:val="both"/>
              <w:rPr/>
            </w:pPr>
            <w:r>
              <w:rPr/>
              <w:t> </w:t>
            </w:r>
          </w:p>
        </w:tc>
        <w:tc>
          <w:tcPr>
            <w:tcW w:w="2765" w:type="dxa"/>
            <w:tcBorders/>
            <w:vAlign w:val="center"/>
          </w:tcPr>
          <w:p>
            <w:pPr>
              <w:pStyle w:val="TableContents"/>
              <w:bidi w:val="0"/>
              <w:spacing w:before="0" w:after="283"/>
              <w:jc w:val="both"/>
              <w:rPr/>
            </w:pPr>
            <w:r>
              <w:rPr/>
              <w:t>Chief Executive Officer</w:t>
            </w:r>
          </w:p>
        </w:tc>
      </w:tr>
      <w:tr>
        <w:trPr/>
        <w:tc>
          <w:tcPr>
            <w:tcW w:w="75" w:type="dxa"/>
            <w:tcBorders/>
            <w:vAlign w:val="center"/>
          </w:tcPr>
          <w:p>
            <w:pPr>
              <w:pStyle w:val="TableContents"/>
              <w:bidi w:val="0"/>
              <w:spacing w:before="0" w:after="283"/>
              <w:jc w:val="both"/>
              <w:rPr/>
            </w:pPr>
            <w:r>
              <w:rPr/>
              <w:t> </w:t>
            </w:r>
          </w:p>
        </w:tc>
        <w:tc>
          <w:tcPr>
            <w:tcW w:w="2765" w:type="dxa"/>
            <w:tcBorders/>
            <w:vAlign w:val="center"/>
          </w:tcPr>
          <w:p>
            <w:pPr>
              <w:pStyle w:val="TableContents"/>
              <w:bidi w:val="0"/>
              <w:spacing w:before="0" w:after="283"/>
              <w:jc w:val="both"/>
              <w:rPr/>
            </w:pPr>
            <w:r>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has been provided to the Company and will be retained by the Company and furnished to the Securities and Exchange Commission or its staff upon request.</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119001ex32-2.htm"/>
      <w:bookmarkStart w:id="25" w:name="ksea030119001ex322"/>
      <w:bookmarkEnd w:id="24"/>
      <w:bookmarkEnd w:id="25"/>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firstLine="126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Proficient Auto Logistics, Inc. (the “Company”) on Form 10-Q for the period ended June 30, 2026 as filed with the Securities and Exchange Commission on the date hereof (the “Report”), I, Brad Wright, certify, pursuant to 18 U.S.C. §1350, as adopted pursuant to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504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75"/>
        <w:gridCol w:w="3575"/>
      </w:tblGrid>
      <w:tr>
        <w:trPr/>
        <w:tc>
          <w:tcPr>
            <w:tcW w:w="75" w:type="dxa"/>
            <w:tcBorders/>
            <w:vAlign w:val="center"/>
          </w:tcPr>
          <w:p>
            <w:pPr>
              <w:pStyle w:val="TableContents"/>
              <w:bidi w:val="0"/>
              <w:spacing w:before="0" w:after="283"/>
              <w:jc w:val="left"/>
              <w:rPr/>
            </w:pPr>
            <w:r>
              <w:rPr/>
              <w:t> </w:t>
            </w:r>
          </w:p>
        </w:tc>
        <w:tc>
          <w:tcPr>
            <w:tcW w:w="3575" w:type="dxa"/>
            <w:tcBorders>
              <w:bottom w:val="single" w:sz="12" w:space="0" w:color="000000"/>
            </w:tcBorders>
            <w:tcMar>
              <w:bottom w:w="28" w:type="dxa"/>
            </w:tcMar>
            <w:vAlign w:val="center"/>
          </w:tcPr>
          <w:p>
            <w:pPr>
              <w:pStyle w:val="TableContents"/>
              <w:bidi w:val="0"/>
              <w:spacing w:before="0" w:after="283"/>
              <w:jc w:val="both"/>
              <w:rPr/>
            </w:pPr>
            <w:r>
              <w:rPr/>
              <w:t>/s/ Brad Wright</w:t>
            </w:r>
          </w:p>
        </w:tc>
      </w:tr>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283"/>
              <w:jc w:val="both"/>
              <w:rPr/>
            </w:pPr>
            <w:r>
              <w:rPr/>
              <w:t>Chief Financial Officer and Secretary</w:t>
            </w:r>
          </w:p>
        </w:tc>
      </w:tr>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283"/>
              <w:jc w:val="both"/>
              <w:rPr/>
            </w:pPr>
            <w:r>
              <w:rPr/>
              <w:t>(Principal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24344</Words>
  <Characters>139776</Characters>
  <CharactersWithSpaces>166392</CharactersWithSpaces>
  <Paragraphs>7248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